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7B" w:rsidRPr="00E61065" w:rsidRDefault="00E61065" w:rsidP="0010177B">
      <w:pPr>
        <w:jc w:val="center"/>
        <w:rPr>
          <w:b/>
          <w:sz w:val="32"/>
          <w:szCs w:val="32"/>
        </w:rPr>
      </w:pPr>
      <w:r w:rsidRPr="00E61065">
        <w:rPr>
          <w:b/>
          <w:sz w:val="32"/>
          <w:szCs w:val="32"/>
        </w:rPr>
        <w:t xml:space="preserve">Your Septic System: </w:t>
      </w:r>
      <w:r w:rsidR="0010177B" w:rsidRPr="00E61065">
        <w:rPr>
          <w:b/>
          <w:sz w:val="32"/>
          <w:szCs w:val="32"/>
        </w:rPr>
        <w:t>Building or Remodeling a Home with a Septic System</w:t>
      </w:r>
    </w:p>
    <w:p w:rsidR="0010177B" w:rsidRPr="005515EF" w:rsidRDefault="0010177B" w:rsidP="0010177B"/>
    <w:p w:rsidR="0010177B" w:rsidRPr="005515EF" w:rsidRDefault="003E1F84" w:rsidP="0010177B">
      <w:r>
        <w:t xml:space="preserve">This guide introduces </w:t>
      </w:r>
      <w:r w:rsidR="0010177B" w:rsidRPr="005515EF">
        <w:t xml:space="preserve">siting and design </w:t>
      </w:r>
      <w:r>
        <w:t>requirements</w:t>
      </w:r>
      <w:r w:rsidR="0010177B" w:rsidRPr="005515EF">
        <w:t xml:space="preserve"> </w:t>
      </w:r>
      <w:r>
        <w:t xml:space="preserve">for septic </w:t>
      </w:r>
      <w:r w:rsidR="0010177B" w:rsidRPr="005515EF">
        <w:t>system</w:t>
      </w:r>
      <w:r>
        <w:t>s</w:t>
      </w:r>
      <w:r w:rsidR="0010177B" w:rsidRPr="005515EF">
        <w:t xml:space="preserve">. </w:t>
      </w:r>
      <w:r>
        <w:t xml:space="preserve">Following design criteria </w:t>
      </w:r>
      <w:r w:rsidR="0010177B" w:rsidRPr="005515EF">
        <w:t xml:space="preserve">will </w:t>
      </w:r>
      <w:r>
        <w:t xml:space="preserve">help </w:t>
      </w:r>
      <w:r w:rsidR="0010177B" w:rsidRPr="005515EF">
        <w:t xml:space="preserve">safeguard your family's health, maintain the value of your property, </w:t>
      </w:r>
      <w:r>
        <w:t xml:space="preserve">and </w:t>
      </w:r>
      <w:r w:rsidR="0010177B" w:rsidRPr="005515EF">
        <w:t xml:space="preserve">protect the environment. </w:t>
      </w:r>
      <w:r>
        <w:t>In new construction, b</w:t>
      </w:r>
      <w:r w:rsidR="0010177B" w:rsidRPr="005515EF">
        <w:t xml:space="preserve">e sure the system </w:t>
      </w:r>
      <w:r>
        <w:t xml:space="preserve">will </w:t>
      </w:r>
      <w:r w:rsidR="0010177B" w:rsidRPr="005515EF">
        <w:t>meet your present and future needs. For example, if you are building a small home with plans to enlarge it as your family grows, design the septic system to accommodate the larger size.</w:t>
      </w:r>
    </w:p>
    <w:p w:rsidR="008426B2" w:rsidRDefault="008426B2" w:rsidP="0010177B"/>
    <w:p w:rsidR="0010177B" w:rsidRDefault="0010177B" w:rsidP="0010177B">
      <w:r w:rsidRPr="005515EF">
        <w:t>If you are modifying an existing home</w:t>
      </w:r>
      <w:r w:rsidR="0074271F">
        <w:t xml:space="preserve">, </w:t>
      </w:r>
      <w:r w:rsidRPr="005515EF">
        <w:t xml:space="preserve">consider how alterations will affect the wastewater disposal process. Adding occupants, garbage disposals, or other appliances </w:t>
      </w:r>
      <w:r w:rsidR="0074271F">
        <w:t xml:space="preserve">can </w:t>
      </w:r>
      <w:r w:rsidRPr="005515EF">
        <w:t xml:space="preserve">increase the volume of wastewater </w:t>
      </w:r>
      <w:r w:rsidR="0074271F">
        <w:t xml:space="preserve">and solids </w:t>
      </w:r>
      <w:r w:rsidRPr="005515EF">
        <w:t xml:space="preserve">your system must handle. </w:t>
      </w:r>
      <w:r w:rsidR="0074271F">
        <w:t>K</w:t>
      </w:r>
      <w:r w:rsidRPr="005515EF">
        <w:t xml:space="preserve">now where your septic system is located so you do not damage it </w:t>
      </w:r>
      <w:r w:rsidR="0074271F">
        <w:t>during other work</w:t>
      </w:r>
      <w:r w:rsidRPr="005515EF">
        <w:t xml:space="preserve">. Be sure that additions, detached buildings, and paved areas will not be located over your septic tank or </w:t>
      </w:r>
      <w:r w:rsidR="00840AB2">
        <w:t>absorption area</w:t>
      </w:r>
      <w:r w:rsidRPr="005515EF">
        <w:t>.</w:t>
      </w:r>
    </w:p>
    <w:p w:rsidR="00690F8D" w:rsidRDefault="00690F8D" w:rsidP="0010177B"/>
    <w:p w:rsidR="0074271F" w:rsidRPr="0074271F" w:rsidRDefault="0074271F" w:rsidP="0074271F">
      <w:pPr>
        <w:jc w:val="center"/>
        <w:rPr>
          <w:b/>
          <w:sz w:val="28"/>
          <w:szCs w:val="28"/>
        </w:rPr>
      </w:pPr>
      <w:r w:rsidRPr="0074271F">
        <w:rPr>
          <w:b/>
          <w:sz w:val="28"/>
          <w:szCs w:val="28"/>
        </w:rPr>
        <w:t>Follow Local Regulations</w:t>
      </w:r>
    </w:p>
    <w:p w:rsidR="0010177B" w:rsidRDefault="0010177B" w:rsidP="0010177B">
      <w:r w:rsidRPr="005515EF">
        <w:t xml:space="preserve">State Department of Health regulations apply to the installation of septic systems, and regulations set by counties and in particular watersheds may be more </w:t>
      </w:r>
      <w:r w:rsidR="00D31FC1">
        <w:t>re</w:t>
      </w:r>
      <w:r w:rsidRPr="005515EF">
        <w:t>strict</w:t>
      </w:r>
      <w:r w:rsidR="00D31FC1">
        <w:t>ive</w:t>
      </w:r>
      <w:r w:rsidRPr="005515EF">
        <w:t>.</w:t>
      </w:r>
      <w:r w:rsidRPr="0074271F">
        <w:t xml:space="preserve"> Consult your County Health Department </w:t>
      </w:r>
      <w:r w:rsidR="0074271F" w:rsidRPr="0074271F">
        <w:t>and local code enforcement office</w:t>
      </w:r>
      <w:r w:rsidR="00B5081D">
        <w:t>r</w:t>
      </w:r>
      <w:r w:rsidR="0074271F" w:rsidRPr="0074271F">
        <w:t xml:space="preserve"> </w:t>
      </w:r>
      <w:r w:rsidRPr="0074271F">
        <w:t>during the design and installation process.</w:t>
      </w:r>
    </w:p>
    <w:p w:rsidR="00BD1E61" w:rsidRPr="005515EF" w:rsidRDefault="00BD1E61" w:rsidP="0010177B"/>
    <w:p w:rsidR="0010177B" w:rsidRPr="005515EF" w:rsidRDefault="0074271F" w:rsidP="0010177B">
      <w:pPr>
        <w:jc w:val="center"/>
        <w:rPr>
          <w:b/>
          <w:sz w:val="28"/>
          <w:szCs w:val="28"/>
        </w:rPr>
      </w:pPr>
      <w:r>
        <w:rPr>
          <w:b/>
          <w:sz w:val="28"/>
          <w:szCs w:val="28"/>
        </w:rPr>
        <w:t>Soil and Site Characteristics</w:t>
      </w:r>
    </w:p>
    <w:p w:rsidR="0010177B" w:rsidRPr="005515EF" w:rsidRDefault="0074271F" w:rsidP="00541234">
      <w:r>
        <w:t xml:space="preserve">Soil conditions determine </w:t>
      </w:r>
      <w:r w:rsidR="0010177B" w:rsidRPr="005515EF">
        <w:t xml:space="preserve">the type of system that can be installed. </w:t>
      </w:r>
      <w:r>
        <w:t>For a traditional septic tank and drainfield system, t</w:t>
      </w:r>
      <w:r w:rsidR="0010177B" w:rsidRPr="005515EF">
        <w:t>here must be enough area and depth of the proper type of soil to treat effluent</w:t>
      </w:r>
      <w:r>
        <w:t xml:space="preserve"> from the septic tank</w:t>
      </w:r>
      <w:r w:rsidR="0010177B" w:rsidRPr="005515EF">
        <w:t xml:space="preserve">. </w:t>
      </w:r>
      <w:r>
        <w:t xml:space="preserve">The </w:t>
      </w:r>
      <w:r w:rsidR="0010177B" w:rsidRPr="005515EF">
        <w:t xml:space="preserve">system must be outside </w:t>
      </w:r>
      <w:r w:rsidR="00D26ED3">
        <w:t xml:space="preserve">the ten-year </w:t>
      </w:r>
      <w:r w:rsidR="0010177B" w:rsidRPr="005515EF">
        <w:t xml:space="preserve">flood zone and </w:t>
      </w:r>
      <w:r w:rsidR="008426B2">
        <w:t>not on an excessively steep slope.</w:t>
      </w:r>
      <w:r w:rsidR="00541234">
        <w:t xml:space="preserve"> A percolation test will be conducted </w:t>
      </w:r>
      <w:r w:rsidR="00541234" w:rsidRPr="005515EF">
        <w:t>to see how long it takes a set volume of water to soak into the soil. Several holes may be dug, filled with water, and tested. The soil absorption system needs to be able to drain water quickly enough to prevent surface contamination, but slowly enough to allow physical, chemical, and biological treatment before the water reaches groundwater below.</w:t>
      </w:r>
    </w:p>
    <w:p w:rsidR="0010177B" w:rsidRPr="005515EF" w:rsidRDefault="0010177B" w:rsidP="0010177B"/>
    <w:p w:rsidR="0010177B" w:rsidRDefault="0010177B" w:rsidP="0010177B">
      <w:r w:rsidRPr="005515EF">
        <w:t xml:space="preserve">The </w:t>
      </w:r>
      <w:r w:rsidR="00D26ED3">
        <w:t xml:space="preserve">on-site </w:t>
      </w:r>
      <w:r w:rsidRPr="005515EF">
        <w:t>wastewater treatment system must be separated from water sources and property features, as</w:t>
      </w:r>
      <w:r w:rsidR="00D26ED3">
        <w:t xml:space="preserve"> summarized in the table below (minimum distances; check current local regulations). </w:t>
      </w:r>
      <w:r w:rsidRPr="005515EF">
        <w:t>Note that shoreline property owners should try to maximize separation distances to reduce the risk of surface water pollution.</w:t>
      </w:r>
    </w:p>
    <w:p w:rsidR="00627BCF" w:rsidRDefault="00627BCF" w:rsidP="0010177B"/>
    <w:p w:rsidR="0010177B" w:rsidRPr="005515EF" w:rsidRDefault="0010177B" w:rsidP="0010177B"/>
    <w:p w:rsidR="0010177B" w:rsidRPr="005515EF" w:rsidRDefault="0010177B" w:rsidP="0010177B">
      <w:pPr>
        <w:sectPr w:rsidR="0010177B" w:rsidRPr="005515EF" w:rsidSect="00637389">
          <w:pgSz w:w="12240" w:h="15840"/>
          <w:pgMar w:top="1296" w:right="1008" w:bottom="1296" w:left="1008" w:header="720" w:footer="144" w:gutter="0"/>
          <w:cols w:space="720"/>
          <w:docGrid w:linePitch="360"/>
        </w:sectPr>
      </w:pPr>
    </w:p>
    <w:p w:rsidR="00715A7C" w:rsidRDefault="0010177B" w:rsidP="0010177B">
      <w:pPr>
        <w:rPr>
          <w:bCs/>
          <w:sz w:val="22"/>
          <w:szCs w:val="22"/>
        </w:rPr>
      </w:pPr>
      <w:r w:rsidRPr="00F13D7A">
        <w:rPr>
          <w:sz w:val="22"/>
          <w:szCs w:val="22"/>
        </w:rPr>
        <w:lastRenderedPageBreak/>
        <w:t xml:space="preserve">Minimum Separation Distances </w:t>
      </w:r>
      <w:r w:rsidR="00796F33" w:rsidRPr="00F13D7A">
        <w:rPr>
          <w:sz w:val="22"/>
          <w:szCs w:val="22"/>
        </w:rPr>
        <w:t>f</w:t>
      </w:r>
      <w:r w:rsidRPr="00F13D7A">
        <w:rPr>
          <w:sz w:val="22"/>
          <w:szCs w:val="22"/>
        </w:rPr>
        <w:t>rom Wastewater System Components (in feet; excerpts from Table 2 of NYS D</w:t>
      </w:r>
      <w:r w:rsidR="00796F33" w:rsidRPr="00F13D7A">
        <w:rPr>
          <w:sz w:val="22"/>
          <w:szCs w:val="22"/>
        </w:rPr>
        <w:t xml:space="preserve">ept. of Health </w:t>
      </w:r>
      <w:r w:rsidRPr="00F13D7A">
        <w:rPr>
          <w:bCs/>
          <w:sz w:val="22"/>
          <w:szCs w:val="22"/>
        </w:rPr>
        <w:t xml:space="preserve">Appendix 75-A Wastewater Treatment Standards - Individual Household Systems </w:t>
      </w:r>
      <w:hyperlink r:id="rId9" w:anchor="a4" w:history="1">
        <w:r w:rsidRPr="00F13D7A">
          <w:rPr>
            <w:rStyle w:val="Hyperlink"/>
            <w:bCs/>
            <w:sz w:val="22"/>
            <w:szCs w:val="22"/>
            <w:u w:val="none"/>
          </w:rPr>
          <w:t>http://www.health.ny.gov/regulations/nycrr/title_10/part_75/appendix_75-a.htm#a4</w:t>
        </w:r>
      </w:hyperlink>
      <w:r w:rsidRPr="00F13D7A">
        <w:rPr>
          <w:bCs/>
          <w:sz w:val="22"/>
          <w:szCs w:val="22"/>
        </w:rPr>
        <w:t>)</w:t>
      </w:r>
    </w:p>
    <w:p w:rsidR="00637389" w:rsidRPr="00F13D7A" w:rsidRDefault="00637389" w:rsidP="0010177B">
      <w:pPr>
        <w:rPr>
          <w:bCs/>
          <w:sz w:val="22"/>
          <w:szCs w:val="22"/>
        </w:rPr>
      </w:pPr>
    </w:p>
    <w:tbl>
      <w:tblPr>
        <w:tblW w:w="6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20"/>
        <w:gridCol w:w="1584"/>
        <w:gridCol w:w="1152"/>
        <w:gridCol w:w="1152"/>
      </w:tblGrid>
      <w:tr w:rsidR="0010177B" w:rsidRPr="00F13D7A" w:rsidTr="00637389">
        <w:trPr>
          <w:trHeight w:val="512"/>
        </w:trPr>
        <w:tc>
          <w:tcPr>
            <w:tcW w:w="1728" w:type="dxa"/>
            <w:vAlign w:val="center"/>
          </w:tcPr>
          <w:p w:rsidR="0010177B" w:rsidRPr="00F13D7A" w:rsidRDefault="00715A7C" w:rsidP="00796F33">
            <w:pPr>
              <w:jc w:val="center"/>
              <w:rPr>
                <w:sz w:val="22"/>
                <w:szCs w:val="22"/>
              </w:rPr>
            </w:pPr>
            <w:r w:rsidRPr="00F13D7A">
              <w:rPr>
                <w:bCs/>
                <w:sz w:val="22"/>
                <w:szCs w:val="22"/>
              </w:rPr>
              <w:br w:type="column"/>
            </w:r>
            <w:r w:rsidRPr="00F13D7A">
              <w:rPr>
                <w:bCs/>
                <w:sz w:val="22"/>
                <w:szCs w:val="22"/>
              </w:rPr>
              <w:br w:type="column"/>
            </w:r>
            <w:r w:rsidR="0010177B" w:rsidRPr="00F13D7A">
              <w:rPr>
                <w:b/>
                <w:bCs/>
                <w:sz w:val="22"/>
                <w:szCs w:val="22"/>
              </w:rPr>
              <w:t>System Component</w:t>
            </w:r>
          </w:p>
        </w:tc>
        <w:tc>
          <w:tcPr>
            <w:tcW w:w="720" w:type="dxa"/>
            <w:vAlign w:val="center"/>
          </w:tcPr>
          <w:p w:rsidR="0010177B" w:rsidRPr="00F13D7A" w:rsidRDefault="0010177B" w:rsidP="00796F33">
            <w:pPr>
              <w:jc w:val="center"/>
              <w:rPr>
                <w:sz w:val="22"/>
                <w:szCs w:val="22"/>
              </w:rPr>
            </w:pPr>
            <w:r w:rsidRPr="00F13D7A">
              <w:rPr>
                <w:b/>
                <w:bCs/>
                <w:sz w:val="22"/>
                <w:szCs w:val="22"/>
              </w:rPr>
              <w:t>Well</w:t>
            </w:r>
          </w:p>
        </w:tc>
        <w:tc>
          <w:tcPr>
            <w:tcW w:w="1584" w:type="dxa"/>
            <w:vAlign w:val="center"/>
          </w:tcPr>
          <w:p w:rsidR="0010177B" w:rsidRPr="00F13D7A" w:rsidRDefault="0010177B" w:rsidP="00796F33">
            <w:pPr>
              <w:jc w:val="center"/>
              <w:rPr>
                <w:sz w:val="22"/>
                <w:szCs w:val="22"/>
              </w:rPr>
            </w:pPr>
            <w:r w:rsidRPr="00F13D7A">
              <w:rPr>
                <w:b/>
                <w:bCs/>
                <w:sz w:val="22"/>
                <w:szCs w:val="22"/>
              </w:rPr>
              <w:t>Stream, Lake, or Wetland</w:t>
            </w:r>
          </w:p>
        </w:tc>
        <w:tc>
          <w:tcPr>
            <w:tcW w:w="1152" w:type="dxa"/>
            <w:vAlign w:val="center"/>
          </w:tcPr>
          <w:p w:rsidR="0010177B" w:rsidRPr="00F13D7A" w:rsidRDefault="0010177B" w:rsidP="00796F33">
            <w:pPr>
              <w:jc w:val="center"/>
              <w:rPr>
                <w:sz w:val="22"/>
                <w:szCs w:val="22"/>
              </w:rPr>
            </w:pPr>
            <w:r w:rsidRPr="00F13D7A">
              <w:rPr>
                <w:b/>
                <w:bCs/>
                <w:sz w:val="22"/>
                <w:szCs w:val="22"/>
              </w:rPr>
              <w:t>Dwelling</w:t>
            </w:r>
          </w:p>
        </w:tc>
        <w:tc>
          <w:tcPr>
            <w:tcW w:w="1152" w:type="dxa"/>
            <w:vAlign w:val="center"/>
          </w:tcPr>
          <w:p w:rsidR="0010177B" w:rsidRPr="00F13D7A" w:rsidRDefault="0010177B" w:rsidP="00796F33">
            <w:pPr>
              <w:jc w:val="center"/>
              <w:rPr>
                <w:sz w:val="22"/>
                <w:szCs w:val="22"/>
              </w:rPr>
            </w:pPr>
            <w:r w:rsidRPr="00F13D7A">
              <w:rPr>
                <w:b/>
                <w:bCs/>
                <w:sz w:val="22"/>
                <w:szCs w:val="22"/>
              </w:rPr>
              <w:t>Property Line</w:t>
            </w:r>
          </w:p>
        </w:tc>
      </w:tr>
      <w:tr w:rsidR="0010177B" w:rsidRPr="00F13D7A" w:rsidTr="00637389">
        <w:tc>
          <w:tcPr>
            <w:tcW w:w="1728" w:type="dxa"/>
          </w:tcPr>
          <w:p w:rsidR="0010177B" w:rsidRPr="00F13D7A" w:rsidRDefault="0010177B" w:rsidP="00E97178">
            <w:pPr>
              <w:rPr>
                <w:sz w:val="22"/>
                <w:szCs w:val="22"/>
              </w:rPr>
            </w:pPr>
            <w:r w:rsidRPr="00F13D7A">
              <w:rPr>
                <w:sz w:val="22"/>
                <w:szCs w:val="22"/>
              </w:rPr>
              <w:t>Septic tank</w:t>
            </w:r>
          </w:p>
        </w:tc>
        <w:tc>
          <w:tcPr>
            <w:tcW w:w="720" w:type="dxa"/>
          </w:tcPr>
          <w:p w:rsidR="0010177B" w:rsidRPr="00F13D7A" w:rsidRDefault="0010177B" w:rsidP="00E97178">
            <w:pPr>
              <w:jc w:val="center"/>
              <w:rPr>
                <w:sz w:val="22"/>
                <w:szCs w:val="22"/>
              </w:rPr>
            </w:pPr>
            <w:r w:rsidRPr="00F13D7A">
              <w:rPr>
                <w:sz w:val="22"/>
                <w:szCs w:val="22"/>
              </w:rPr>
              <w:t>50</w:t>
            </w:r>
          </w:p>
        </w:tc>
        <w:tc>
          <w:tcPr>
            <w:tcW w:w="1584" w:type="dxa"/>
          </w:tcPr>
          <w:p w:rsidR="0010177B" w:rsidRPr="00F13D7A" w:rsidRDefault="0010177B" w:rsidP="00E97178">
            <w:pPr>
              <w:jc w:val="center"/>
              <w:rPr>
                <w:sz w:val="22"/>
                <w:szCs w:val="22"/>
              </w:rPr>
            </w:pPr>
            <w:r w:rsidRPr="00F13D7A">
              <w:rPr>
                <w:sz w:val="22"/>
                <w:szCs w:val="22"/>
              </w:rPr>
              <w:t>50</w:t>
            </w:r>
          </w:p>
        </w:tc>
        <w:tc>
          <w:tcPr>
            <w:tcW w:w="1152" w:type="dxa"/>
          </w:tcPr>
          <w:p w:rsidR="0010177B" w:rsidRPr="00F13D7A" w:rsidRDefault="0010177B" w:rsidP="00E97178">
            <w:pPr>
              <w:jc w:val="center"/>
              <w:rPr>
                <w:sz w:val="22"/>
                <w:szCs w:val="22"/>
              </w:rPr>
            </w:pPr>
            <w:r w:rsidRPr="00F13D7A">
              <w:rPr>
                <w:sz w:val="22"/>
                <w:szCs w:val="22"/>
              </w:rPr>
              <w:t>10</w:t>
            </w:r>
          </w:p>
        </w:tc>
        <w:tc>
          <w:tcPr>
            <w:tcW w:w="1152" w:type="dxa"/>
          </w:tcPr>
          <w:p w:rsidR="0010177B" w:rsidRPr="00F13D7A" w:rsidRDefault="0010177B" w:rsidP="00E97178">
            <w:pPr>
              <w:jc w:val="center"/>
              <w:rPr>
                <w:sz w:val="22"/>
                <w:szCs w:val="22"/>
              </w:rPr>
            </w:pPr>
            <w:r w:rsidRPr="00F13D7A">
              <w:rPr>
                <w:sz w:val="22"/>
                <w:szCs w:val="22"/>
              </w:rPr>
              <w:t>10</w:t>
            </w:r>
          </w:p>
        </w:tc>
      </w:tr>
      <w:tr w:rsidR="0010177B" w:rsidRPr="00F13D7A" w:rsidTr="00637389">
        <w:tc>
          <w:tcPr>
            <w:tcW w:w="1728" w:type="dxa"/>
          </w:tcPr>
          <w:p w:rsidR="0010177B" w:rsidRPr="00F13D7A" w:rsidRDefault="0010177B" w:rsidP="00E97178">
            <w:pPr>
              <w:rPr>
                <w:sz w:val="22"/>
                <w:szCs w:val="22"/>
              </w:rPr>
            </w:pPr>
            <w:r w:rsidRPr="00F13D7A">
              <w:rPr>
                <w:sz w:val="22"/>
                <w:szCs w:val="22"/>
              </w:rPr>
              <w:t>Distribution box</w:t>
            </w:r>
          </w:p>
        </w:tc>
        <w:tc>
          <w:tcPr>
            <w:tcW w:w="720" w:type="dxa"/>
          </w:tcPr>
          <w:p w:rsidR="0010177B" w:rsidRPr="00F13D7A" w:rsidRDefault="0010177B" w:rsidP="00E97178">
            <w:pPr>
              <w:jc w:val="center"/>
              <w:rPr>
                <w:sz w:val="22"/>
                <w:szCs w:val="22"/>
              </w:rPr>
            </w:pPr>
            <w:r w:rsidRPr="00F13D7A">
              <w:rPr>
                <w:sz w:val="22"/>
                <w:szCs w:val="22"/>
              </w:rPr>
              <w:t>100</w:t>
            </w:r>
          </w:p>
        </w:tc>
        <w:tc>
          <w:tcPr>
            <w:tcW w:w="1584" w:type="dxa"/>
          </w:tcPr>
          <w:p w:rsidR="0010177B" w:rsidRPr="00F13D7A" w:rsidRDefault="0010177B" w:rsidP="00E97178">
            <w:pPr>
              <w:jc w:val="center"/>
              <w:rPr>
                <w:sz w:val="22"/>
                <w:szCs w:val="22"/>
              </w:rPr>
            </w:pPr>
            <w:r w:rsidRPr="00F13D7A">
              <w:rPr>
                <w:sz w:val="22"/>
                <w:szCs w:val="22"/>
              </w:rPr>
              <w:t>100</w:t>
            </w:r>
          </w:p>
        </w:tc>
        <w:tc>
          <w:tcPr>
            <w:tcW w:w="1152" w:type="dxa"/>
          </w:tcPr>
          <w:p w:rsidR="0010177B" w:rsidRPr="00F13D7A" w:rsidRDefault="0010177B" w:rsidP="00E97178">
            <w:pPr>
              <w:jc w:val="center"/>
              <w:rPr>
                <w:sz w:val="22"/>
                <w:szCs w:val="22"/>
              </w:rPr>
            </w:pPr>
            <w:r w:rsidRPr="00F13D7A">
              <w:rPr>
                <w:sz w:val="22"/>
                <w:szCs w:val="22"/>
              </w:rPr>
              <w:t>20</w:t>
            </w:r>
          </w:p>
        </w:tc>
        <w:tc>
          <w:tcPr>
            <w:tcW w:w="1152" w:type="dxa"/>
          </w:tcPr>
          <w:p w:rsidR="0010177B" w:rsidRPr="00F13D7A" w:rsidRDefault="0010177B" w:rsidP="00E97178">
            <w:pPr>
              <w:jc w:val="center"/>
              <w:rPr>
                <w:sz w:val="22"/>
                <w:szCs w:val="22"/>
              </w:rPr>
            </w:pPr>
            <w:r w:rsidRPr="00F13D7A">
              <w:rPr>
                <w:sz w:val="22"/>
                <w:szCs w:val="22"/>
              </w:rPr>
              <w:t>10</w:t>
            </w:r>
          </w:p>
        </w:tc>
      </w:tr>
      <w:tr w:rsidR="0010177B" w:rsidRPr="00F13D7A" w:rsidTr="00637389">
        <w:tc>
          <w:tcPr>
            <w:tcW w:w="1728" w:type="dxa"/>
          </w:tcPr>
          <w:p w:rsidR="0010177B" w:rsidRPr="00F13D7A" w:rsidRDefault="0010177B" w:rsidP="0003150F">
            <w:pPr>
              <w:rPr>
                <w:sz w:val="22"/>
                <w:szCs w:val="22"/>
              </w:rPr>
            </w:pPr>
            <w:r w:rsidRPr="00F13D7A">
              <w:rPr>
                <w:sz w:val="22"/>
                <w:szCs w:val="22"/>
              </w:rPr>
              <w:t xml:space="preserve">Absorption </w:t>
            </w:r>
            <w:r w:rsidR="0003150F" w:rsidRPr="00F13D7A">
              <w:rPr>
                <w:sz w:val="22"/>
                <w:szCs w:val="22"/>
              </w:rPr>
              <w:t>area</w:t>
            </w:r>
          </w:p>
        </w:tc>
        <w:tc>
          <w:tcPr>
            <w:tcW w:w="720" w:type="dxa"/>
          </w:tcPr>
          <w:p w:rsidR="0010177B" w:rsidRPr="00F13D7A" w:rsidRDefault="0010177B" w:rsidP="00E97178">
            <w:pPr>
              <w:jc w:val="center"/>
              <w:rPr>
                <w:sz w:val="22"/>
                <w:szCs w:val="22"/>
              </w:rPr>
            </w:pPr>
            <w:r w:rsidRPr="00F13D7A">
              <w:rPr>
                <w:sz w:val="22"/>
                <w:szCs w:val="22"/>
              </w:rPr>
              <w:t>100</w:t>
            </w:r>
          </w:p>
        </w:tc>
        <w:tc>
          <w:tcPr>
            <w:tcW w:w="1584" w:type="dxa"/>
          </w:tcPr>
          <w:p w:rsidR="0010177B" w:rsidRPr="00F13D7A" w:rsidRDefault="0010177B" w:rsidP="00E97178">
            <w:pPr>
              <w:jc w:val="center"/>
              <w:rPr>
                <w:sz w:val="22"/>
                <w:szCs w:val="22"/>
              </w:rPr>
            </w:pPr>
            <w:r w:rsidRPr="00F13D7A">
              <w:rPr>
                <w:sz w:val="22"/>
                <w:szCs w:val="22"/>
              </w:rPr>
              <w:t>100</w:t>
            </w:r>
          </w:p>
        </w:tc>
        <w:tc>
          <w:tcPr>
            <w:tcW w:w="1152" w:type="dxa"/>
          </w:tcPr>
          <w:p w:rsidR="0010177B" w:rsidRPr="00F13D7A" w:rsidRDefault="0010177B" w:rsidP="00E97178">
            <w:pPr>
              <w:jc w:val="center"/>
              <w:rPr>
                <w:sz w:val="22"/>
                <w:szCs w:val="22"/>
              </w:rPr>
            </w:pPr>
            <w:r w:rsidRPr="00F13D7A">
              <w:rPr>
                <w:sz w:val="22"/>
                <w:szCs w:val="22"/>
              </w:rPr>
              <w:t>20</w:t>
            </w:r>
          </w:p>
        </w:tc>
        <w:tc>
          <w:tcPr>
            <w:tcW w:w="1152" w:type="dxa"/>
          </w:tcPr>
          <w:p w:rsidR="0010177B" w:rsidRPr="00F13D7A" w:rsidRDefault="0010177B" w:rsidP="00E97178">
            <w:pPr>
              <w:jc w:val="center"/>
              <w:rPr>
                <w:sz w:val="22"/>
                <w:szCs w:val="22"/>
              </w:rPr>
            </w:pPr>
            <w:r w:rsidRPr="00F13D7A">
              <w:rPr>
                <w:sz w:val="22"/>
                <w:szCs w:val="22"/>
              </w:rPr>
              <w:t>10</w:t>
            </w:r>
          </w:p>
        </w:tc>
      </w:tr>
    </w:tbl>
    <w:p w:rsidR="00715A7C" w:rsidRDefault="00715A7C" w:rsidP="0010177B"/>
    <w:p w:rsidR="00715A7C" w:rsidRDefault="00715A7C" w:rsidP="0010177B"/>
    <w:p w:rsidR="00715A7C" w:rsidRDefault="00715A7C" w:rsidP="0010177B">
      <w:pPr>
        <w:sectPr w:rsidR="00715A7C" w:rsidSect="00637389">
          <w:type w:val="continuous"/>
          <w:pgSz w:w="12240" w:h="15840"/>
          <w:pgMar w:top="1152" w:right="1008" w:bottom="1152" w:left="1008" w:header="720" w:footer="720" w:gutter="0"/>
          <w:cols w:num="2" w:space="432" w:equalWidth="0">
            <w:col w:w="3888" w:space="432"/>
            <w:col w:w="5904"/>
          </w:cols>
          <w:docGrid w:linePitch="360"/>
        </w:sectPr>
      </w:pPr>
    </w:p>
    <w:p w:rsidR="003C322E" w:rsidRDefault="003C322E" w:rsidP="0010177B"/>
    <w:p w:rsidR="00F13D7A" w:rsidRDefault="00F13D7A" w:rsidP="0010177B"/>
    <w:p w:rsidR="00BE08FC" w:rsidRDefault="00BE08FC" w:rsidP="00BE08FC">
      <w:pPr>
        <w:jc w:val="center"/>
      </w:pPr>
      <w:r>
        <w:rPr>
          <w:noProof/>
        </w:rPr>
        <w:drawing>
          <wp:inline distT="0" distB="0" distL="0" distR="0" wp14:anchorId="20D7CE61" wp14:editId="121520BB">
            <wp:extent cx="2580717" cy="804672"/>
            <wp:effectExtent l="0" t="0" r="0" b="0"/>
            <wp:docPr id="13" name="Picture 13" descr="C:\Users\GalfordEAS\AppData\Local\Microsoft\Windows\Temporary Internet Files\Content.Word\CULogo1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fordEAS\AppData\Local\Microsoft\Windows\Temporary Internet Files\Content.Word\CULogo187-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0717" cy="804672"/>
                    </a:xfrm>
                    <a:prstGeom prst="rect">
                      <a:avLst/>
                    </a:prstGeom>
                    <a:noFill/>
                    <a:ln>
                      <a:noFill/>
                    </a:ln>
                  </pic:spPr>
                </pic:pic>
              </a:graphicData>
            </a:graphic>
          </wp:inline>
        </w:drawing>
      </w:r>
    </w:p>
    <w:p w:rsidR="00F13D7A" w:rsidRDefault="00F13D7A" w:rsidP="00AF6EC8">
      <w:pPr>
        <w:sectPr w:rsidR="00F13D7A" w:rsidSect="006151C2">
          <w:type w:val="continuous"/>
          <w:pgSz w:w="12240" w:h="15840"/>
          <w:pgMar w:top="1008" w:right="1008" w:bottom="1008" w:left="1008" w:header="720" w:footer="720" w:gutter="0"/>
          <w:cols w:space="720"/>
          <w:docGrid w:linePitch="360"/>
        </w:sectPr>
      </w:pPr>
    </w:p>
    <w:p w:rsidR="00637389" w:rsidRDefault="00637389" w:rsidP="00AF6EC8"/>
    <w:p w:rsidR="00AF6EC8" w:rsidRDefault="00AF6EC8" w:rsidP="00AF6EC8">
      <w:r w:rsidRPr="005515EF">
        <w:t xml:space="preserve">In areas where conditions are </w:t>
      </w:r>
      <w:r w:rsidRPr="005515EF">
        <w:rPr>
          <w:i/>
        </w:rPr>
        <w:t>not</w:t>
      </w:r>
      <w:r w:rsidRPr="005515EF">
        <w:t xml:space="preserve"> suitable for a traditional septic tank and soil absorption drainfield, alternatives may be used. These</w:t>
      </w:r>
      <w:r w:rsidR="006815DA">
        <w:t xml:space="preserve"> systems are introduced in the publication </w:t>
      </w:r>
      <w:r w:rsidRPr="005515EF">
        <w:t>Alternative and Advanced On-site Wastewater Treatment Systems.</w:t>
      </w:r>
    </w:p>
    <w:p w:rsidR="00AF6EC8" w:rsidRDefault="00AF6EC8" w:rsidP="00AF6EC8"/>
    <w:p w:rsidR="0010177B" w:rsidRPr="00690F8D" w:rsidRDefault="00627BCF" w:rsidP="00690F8D">
      <w:pPr>
        <w:jc w:val="center"/>
        <w:rPr>
          <w:b/>
          <w:sz w:val="28"/>
          <w:szCs w:val="28"/>
        </w:rPr>
      </w:pPr>
      <w:r w:rsidRPr="00690F8D">
        <w:rPr>
          <w:b/>
          <w:sz w:val="28"/>
          <w:szCs w:val="28"/>
        </w:rPr>
        <w:t xml:space="preserve">Septic Tank Size, </w:t>
      </w:r>
      <w:r w:rsidR="0010177B" w:rsidRPr="00690F8D">
        <w:rPr>
          <w:b/>
          <w:sz w:val="28"/>
          <w:szCs w:val="28"/>
        </w:rPr>
        <w:t>Design</w:t>
      </w:r>
      <w:r w:rsidRPr="00690F8D">
        <w:rPr>
          <w:b/>
          <w:sz w:val="28"/>
          <w:szCs w:val="28"/>
        </w:rPr>
        <w:t>,</w:t>
      </w:r>
      <w:r w:rsidR="0010177B" w:rsidRPr="00690F8D">
        <w:rPr>
          <w:b/>
          <w:sz w:val="28"/>
          <w:szCs w:val="28"/>
        </w:rPr>
        <w:t xml:space="preserve"> and Installation</w:t>
      </w:r>
    </w:p>
    <w:p w:rsidR="0010177B" w:rsidRDefault="0010177B" w:rsidP="0010177B">
      <w:r w:rsidRPr="006815DA">
        <w:t>New York</w:t>
      </w:r>
      <w:r w:rsidR="006815DA" w:rsidRPr="006815DA">
        <w:t xml:space="preserve"> State Department of Health regulations mandate</w:t>
      </w:r>
      <w:r w:rsidR="006815DA">
        <w:t xml:space="preserve"> </w:t>
      </w:r>
      <w:r w:rsidRPr="005515EF">
        <w:t xml:space="preserve">minimum sizes and surface area for septic tanks. See the table below for basic guidelines, and consult the full </w:t>
      </w:r>
      <w:r w:rsidR="007C5DA3">
        <w:t>reference</w:t>
      </w:r>
      <w:r w:rsidRPr="005515EF">
        <w:t xml:space="preserve"> for details on septic system models and installation and what counts as a possible bedroom. </w:t>
      </w:r>
      <w:r w:rsidR="005A7E67">
        <w:t xml:space="preserve">County sanitary codes and watershed regulations may also apply. </w:t>
      </w:r>
      <w:r w:rsidR="007C5DA3">
        <w:t xml:space="preserve">Note that </w:t>
      </w:r>
      <w:r w:rsidRPr="005515EF">
        <w:t xml:space="preserve">these </w:t>
      </w:r>
      <w:r w:rsidR="007C5DA3">
        <w:t xml:space="preserve">are </w:t>
      </w:r>
      <w:r w:rsidRPr="005515EF">
        <w:t>minimum capacities</w:t>
      </w:r>
      <w:r w:rsidR="007C5DA3">
        <w:t xml:space="preserve">; </w:t>
      </w:r>
      <w:r w:rsidRPr="005515EF">
        <w:t xml:space="preserve">installing </w:t>
      </w:r>
      <w:r w:rsidR="007C5DA3">
        <w:t xml:space="preserve">a </w:t>
      </w:r>
      <w:r w:rsidRPr="005515EF">
        <w:t>larger tank</w:t>
      </w:r>
      <w:r w:rsidR="007C5DA3">
        <w:t xml:space="preserve"> </w:t>
      </w:r>
      <w:r w:rsidRPr="005515EF">
        <w:t>allow</w:t>
      </w:r>
      <w:r w:rsidR="007C5DA3">
        <w:t>s</w:t>
      </w:r>
      <w:r w:rsidRPr="005515EF">
        <w:t xml:space="preserve"> for better separation of scum and solids</w:t>
      </w:r>
      <w:r w:rsidR="007C5DA3">
        <w:t xml:space="preserve"> from wastewater</w:t>
      </w:r>
      <w:r w:rsidRPr="005515EF">
        <w:t xml:space="preserve">, resulting in fewer solids entering the </w:t>
      </w:r>
      <w:r w:rsidR="007C5DA3">
        <w:t>absorption area</w:t>
      </w:r>
      <w:r w:rsidRPr="005515EF">
        <w:t xml:space="preserve"> and prolonging the life of your system. </w:t>
      </w:r>
      <w:r w:rsidR="007C5DA3">
        <w:t xml:space="preserve">A larger tank may </w:t>
      </w:r>
      <w:r w:rsidRPr="005515EF">
        <w:t xml:space="preserve">also require less frequent pumping and allow for future expansion of the home. Garbage grinders or disposals are not recommended for use with septic systems because they increase the necessity of pumping. The required minimum septic tank size increases with a garbage disposal. </w:t>
      </w:r>
      <w:r w:rsidR="007C5DA3">
        <w:t>Use of a two-compartment tank or t</w:t>
      </w:r>
      <w:r w:rsidRPr="005515EF">
        <w:t xml:space="preserve">wo tanks </w:t>
      </w:r>
      <w:r w:rsidR="007C5DA3">
        <w:t xml:space="preserve">in </w:t>
      </w:r>
      <w:r w:rsidRPr="005515EF">
        <w:t>series improve</w:t>
      </w:r>
      <w:r w:rsidR="007C5DA3">
        <w:t>s</w:t>
      </w:r>
      <w:r w:rsidRPr="005515EF">
        <w:t xml:space="preserve"> settling of solids from effluent and </w:t>
      </w:r>
      <w:r w:rsidR="007C5DA3">
        <w:t xml:space="preserve">is </w:t>
      </w:r>
      <w:r w:rsidRPr="005515EF">
        <w:t>required for some drainfield types; the total volume capacity applies.</w:t>
      </w:r>
    </w:p>
    <w:p w:rsidR="00B64B7D" w:rsidRPr="005515EF" w:rsidRDefault="00B64B7D" w:rsidP="0010177B"/>
    <w:p w:rsidR="0010177B" w:rsidRDefault="0010177B" w:rsidP="0010177B"/>
    <w:p w:rsidR="0010177B" w:rsidRDefault="0010177B" w:rsidP="0010177B">
      <w:pPr>
        <w:sectPr w:rsidR="0010177B" w:rsidSect="00B64B7D">
          <w:footerReference w:type="default" r:id="rId11"/>
          <w:type w:val="continuous"/>
          <w:pgSz w:w="12240" w:h="15840"/>
          <w:pgMar w:top="1296" w:right="1008" w:bottom="1296" w:left="1008" w:header="720" w:footer="144" w:gutter="0"/>
          <w:cols w:space="720"/>
          <w:docGrid w:linePitch="360"/>
        </w:sectPr>
      </w:pPr>
    </w:p>
    <w:p w:rsidR="00715A7C" w:rsidRDefault="0010177B" w:rsidP="0010177B">
      <w:pPr>
        <w:rPr>
          <w:bCs/>
          <w:sz w:val="20"/>
          <w:szCs w:val="20"/>
        </w:rPr>
      </w:pPr>
      <w:r w:rsidRPr="005515EF">
        <w:rPr>
          <w:sz w:val="20"/>
          <w:szCs w:val="20"/>
        </w:rPr>
        <w:lastRenderedPageBreak/>
        <w:t>Minimum Septic Tank Capacities</w:t>
      </w:r>
      <w:r>
        <w:rPr>
          <w:sz w:val="20"/>
          <w:szCs w:val="20"/>
        </w:rPr>
        <w:br/>
        <w:t xml:space="preserve">(from Table 3 of </w:t>
      </w:r>
      <w:r w:rsidRPr="005515EF">
        <w:rPr>
          <w:sz w:val="20"/>
          <w:szCs w:val="20"/>
        </w:rPr>
        <w:t>NYS D</w:t>
      </w:r>
      <w:r>
        <w:rPr>
          <w:sz w:val="20"/>
          <w:szCs w:val="20"/>
        </w:rPr>
        <w:t>epartment of Health</w:t>
      </w:r>
      <w:r w:rsidRPr="005515EF">
        <w:rPr>
          <w:sz w:val="20"/>
          <w:szCs w:val="20"/>
        </w:rPr>
        <w:t xml:space="preserve"> </w:t>
      </w:r>
      <w:r w:rsidRPr="005515EF">
        <w:rPr>
          <w:bCs/>
          <w:sz w:val="20"/>
          <w:szCs w:val="20"/>
        </w:rPr>
        <w:t xml:space="preserve">Appendix 75-A Wastewater Treatment Standards - Individual Household Systems </w:t>
      </w:r>
      <w:hyperlink r:id="rId12" w:anchor="a6" w:history="1">
        <w:r w:rsidRPr="00382370">
          <w:rPr>
            <w:rStyle w:val="Hyperlink"/>
            <w:bCs/>
            <w:sz w:val="20"/>
            <w:szCs w:val="20"/>
            <w:u w:val="none"/>
          </w:rPr>
          <w:t>http://www.health.ny.gov/regulations/nycrr/title_10/part_75/appendix_75-a.htm#a6</w:t>
        </w:r>
      </w:hyperlink>
      <w:r w:rsidRPr="005515EF">
        <w:rPr>
          <w:bCs/>
          <w:sz w:val="20"/>
          <w:szCs w:val="20"/>
        </w:rPr>
        <w:t>)</w:t>
      </w:r>
    </w:p>
    <w:p w:rsidR="007C5DA3" w:rsidRDefault="007C5DA3" w:rsidP="0010177B">
      <w:pPr>
        <w:rPr>
          <w:bCs/>
          <w:sz w:val="20"/>
          <w:szCs w:val="20"/>
        </w:rPr>
      </w:pPr>
    </w:p>
    <w:tbl>
      <w:tblPr>
        <w:tblW w:w="5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3"/>
        <w:gridCol w:w="1895"/>
        <w:gridCol w:w="2070"/>
      </w:tblGrid>
      <w:tr w:rsidR="0010177B" w:rsidRPr="00E7039B" w:rsidTr="00E97178">
        <w:trPr>
          <w:trHeight w:val="512"/>
        </w:trPr>
        <w:tc>
          <w:tcPr>
            <w:tcW w:w="1183" w:type="dxa"/>
            <w:vAlign w:val="bottom"/>
          </w:tcPr>
          <w:p w:rsidR="0010177B" w:rsidRPr="00E7039B" w:rsidRDefault="0010177B" w:rsidP="00E97178">
            <w:pPr>
              <w:jc w:val="center"/>
              <w:rPr>
                <w:sz w:val="20"/>
                <w:szCs w:val="20"/>
              </w:rPr>
            </w:pPr>
            <w:r>
              <w:rPr>
                <w:bCs/>
                <w:sz w:val="20"/>
                <w:szCs w:val="20"/>
              </w:rPr>
              <w:lastRenderedPageBreak/>
              <w:br w:type="column"/>
            </w:r>
            <w:r w:rsidRPr="00E7039B">
              <w:rPr>
                <w:b/>
                <w:bCs/>
                <w:sz w:val="20"/>
                <w:szCs w:val="20"/>
              </w:rPr>
              <w:t>Bedrooms</w:t>
            </w:r>
          </w:p>
        </w:tc>
        <w:tc>
          <w:tcPr>
            <w:tcW w:w="1895" w:type="dxa"/>
            <w:vAlign w:val="bottom"/>
          </w:tcPr>
          <w:p w:rsidR="0010177B" w:rsidRPr="00E7039B" w:rsidRDefault="0010177B" w:rsidP="00E97178">
            <w:pPr>
              <w:jc w:val="center"/>
              <w:rPr>
                <w:sz w:val="20"/>
                <w:szCs w:val="20"/>
              </w:rPr>
            </w:pPr>
            <w:r w:rsidRPr="00E7039B">
              <w:rPr>
                <w:b/>
                <w:bCs/>
                <w:sz w:val="20"/>
                <w:szCs w:val="20"/>
              </w:rPr>
              <w:t>Minimum Tank Capacity (gallons)</w:t>
            </w:r>
          </w:p>
        </w:tc>
        <w:tc>
          <w:tcPr>
            <w:tcW w:w="2070" w:type="dxa"/>
            <w:vAlign w:val="bottom"/>
          </w:tcPr>
          <w:p w:rsidR="0010177B" w:rsidRPr="00E7039B" w:rsidRDefault="0010177B" w:rsidP="00E97178">
            <w:pPr>
              <w:jc w:val="center"/>
              <w:rPr>
                <w:sz w:val="20"/>
                <w:szCs w:val="20"/>
              </w:rPr>
            </w:pPr>
            <w:r w:rsidRPr="00E7039B">
              <w:rPr>
                <w:b/>
                <w:bCs/>
                <w:sz w:val="20"/>
                <w:szCs w:val="20"/>
              </w:rPr>
              <w:t>Minimum Liquid Surface Area (sq. ft.)</w:t>
            </w:r>
          </w:p>
        </w:tc>
      </w:tr>
      <w:tr w:rsidR="0010177B" w:rsidRPr="00E7039B" w:rsidTr="00E97178">
        <w:tc>
          <w:tcPr>
            <w:tcW w:w="1183" w:type="dxa"/>
            <w:vAlign w:val="center"/>
          </w:tcPr>
          <w:p w:rsidR="0010177B" w:rsidRPr="00E7039B" w:rsidRDefault="0010177B" w:rsidP="00E97178">
            <w:pPr>
              <w:jc w:val="center"/>
              <w:rPr>
                <w:sz w:val="20"/>
                <w:szCs w:val="20"/>
              </w:rPr>
            </w:pPr>
            <w:r w:rsidRPr="00E7039B">
              <w:rPr>
                <w:sz w:val="20"/>
                <w:szCs w:val="20"/>
              </w:rPr>
              <w:t>1-3</w:t>
            </w:r>
          </w:p>
        </w:tc>
        <w:tc>
          <w:tcPr>
            <w:tcW w:w="1895" w:type="dxa"/>
            <w:vAlign w:val="center"/>
          </w:tcPr>
          <w:p w:rsidR="0010177B" w:rsidRPr="00E7039B" w:rsidRDefault="0010177B" w:rsidP="00E97178">
            <w:pPr>
              <w:jc w:val="center"/>
              <w:rPr>
                <w:sz w:val="20"/>
                <w:szCs w:val="20"/>
              </w:rPr>
            </w:pPr>
            <w:r w:rsidRPr="00E7039B">
              <w:rPr>
                <w:sz w:val="20"/>
                <w:szCs w:val="20"/>
              </w:rPr>
              <w:t>1000</w:t>
            </w:r>
          </w:p>
        </w:tc>
        <w:tc>
          <w:tcPr>
            <w:tcW w:w="2070" w:type="dxa"/>
            <w:vAlign w:val="center"/>
          </w:tcPr>
          <w:p w:rsidR="0010177B" w:rsidRPr="00E7039B" w:rsidRDefault="0010177B" w:rsidP="00E97178">
            <w:pPr>
              <w:jc w:val="center"/>
              <w:rPr>
                <w:sz w:val="20"/>
                <w:szCs w:val="20"/>
              </w:rPr>
            </w:pPr>
            <w:r w:rsidRPr="00E7039B">
              <w:rPr>
                <w:sz w:val="20"/>
                <w:szCs w:val="20"/>
              </w:rPr>
              <w:t>27</w:t>
            </w:r>
          </w:p>
        </w:tc>
      </w:tr>
      <w:tr w:rsidR="0010177B" w:rsidRPr="00E7039B" w:rsidTr="00E97178">
        <w:tc>
          <w:tcPr>
            <w:tcW w:w="1183" w:type="dxa"/>
            <w:vAlign w:val="center"/>
          </w:tcPr>
          <w:p w:rsidR="0010177B" w:rsidRPr="00E7039B" w:rsidRDefault="0010177B" w:rsidP="00E97178">
            <w:pPr>
              <w:jc w:val="center"/>
              <w:rPr>
                <w:sz w:val="20"/>
                <w:szCs w:val="20"/>
              </w:rPr>
            </w:pPr>
            <w:r w:rsidRPr="00E7039B">
              <w:rPr>
                <w:sz w:val="20"/>
                <w:szCs w:val="20"/>
              </w:rPr>
              <w:t>4</w:t>
            </w:r>
          </w:p>
        </w:tc>
        <w:tc>
          <w:tcPr>
            <w:tcW w:w="1895" w:type="dxa"/>
            <w:vAlign w:val="center"/>
          </w:tcPr>
          <w:p w:rsidR="0010177B" w:rsidRPr="00E7039B" w:rsidRDefault="0010177B" w:rsidP="00E97178">
            <w:pPr>
              <w:jc w:val="center"/>
              <w:rPr>
                <w:sz w:val="20"/>
                <w:szCs w:val="20"/>
              </w:rPr>
            </w:pPr>
            <w:r w:rsidRPr="00E7039B">
              <w:rPr>
                <w:sz w:val="20"/>
                <w:szCs w:val="20"/>
              </w:rPr>
              <w:t>1250</w:t>
            </w:r>
          </w:p>
        </w:tc>
        <w:tc>
          <w:tcPr>
            <w:tcW w:w="2070" w:type="dxa"/>
            <w:vAlign w:val="center"/>
          </w:tcPr>
          <w:p w:rsidR="0010177B" w:rsidRPr="00E7039B" w:rsidRDefault="0010177B" w:rsidP="00E97178">
            <w:pPr>
              <w:jc w:val="center"/>
              <w:rPr>
                <w:sz w:val="20"/>
                <w:szCs w:val="20"/>
              </w:rPr>
            </w:pPr>
            <w:r w:rsidRPr="00E7039B">
              <w:rPr>
                <w:sz w:val="20"/>
                <w:szCs w:val="20"/>
              </w:rPr>
              <w:t>34</w:t>
            </w:r>
          </w:p>
        </w:tc>
      </w:tr>
      <w:tr w:rsidR="0010177B" w:rsidRPr="00E7039B" w:rsidTr="00E97178">
        <w:tc>
          <w:tcPr>
            <w:tcW w:w="1183" w:type="dxa"/>
            <w:vAlign w:val="center"/>
          </w:tcPr>
          <w:p w:rsidR="0010177B" w:rsidRPr="00E7039B" w:rsidRDefault="0010177B" w:rsidP="00E97178">
            <w:pPr>
              <w:jc w:val="center"/>
              <w:rPr>
                <w:sz w:val="20"/>
                <w:szCs w:val="20"/>
              </w:rPr>
            </w:pPr>
            <w:r w:rsidRPr="00E7039B">
              <w:rPr>
                <w:sz w:val="20"/>
                <w:szCs w:val="20"/>
              </w:rPr>
              <w:t>5</w:t>
            </w:r>
          </w:p>
        </w:tc>
        <w:tc>
          <w:tcPr>
            <w:tcW w:w="1895" w:type="dxa"/>
            <w:vAlign w:val="center"/>
          </w:tcPr>
          <w:p w:rsidR="0010177B" w:rsidRPr="00E7039B" w:rsidRDefault="0010177B" w:rsidP="00E97178">
            <w:pPr>
              <w:jc w:val="center"/>
              <w:rPr>
                <w:sz w:val="20"/>
                <w:szCs w:val="20"/>
              </w:rPr>
            </w:pPr>
            <w:r w:rsidRPr="00E7039B">
              <w:rPr>
                <w:sz w:val="20"/>
                <w:szCs w:val="20"/>
              </w:rPr>
              <w:t>1500</w:t>
            </w:r>
          </w:p>
        </w:tc>
        <w:tc>
          <w:tcPr>
            <w:tcW w:w="2070" w:type="dxa"/>
            <w:vAlign w:val="center"/>
          </w:tcPr>
          <w:p w:rsidR="0010177B" w:rsidRPr="00E7039B" w:rsidRDefault="0010177B" w:rsidP="00E97178">
            <w:pPr>
              <w:jc w:val="center"/>
              <w:rPr>
                <w:sz w:val="20"/>
                <w:szCs w:val="20"/>
              </w:rPr>
            </w:pPr>
            <w:r w:rsidRPr="00E7039B">
              <w:rPr>
                <w:sz w:val="20"/>
                <w:szCs w:val="20"/>
              </w:rPr>
              <w:t>40</w:t>
            </w:r>
          </w:p>
        </w:tc>
      </w:tr>
      <w:tr w:rsidR="0010177B" w:rsidRPr="00E7039B" w:rsidTr="00E97178">
        <w:tc>
          <w:tcPr>
            <w:tcW w:w="1183" w:type="dxa"/>
            <w:vAlign w:val="center"/>
          </w:tcPr>
          <w:p w:rsidR="0010177B" w:rsidRPr="00E7039B" w:rsidRDefault="0010177B" w:rsidP="00E97178">
            <w:pPr>
              <w:jc w:val="center"/>
              <w:rPr>
                <w:sz w:val="20"/>
                <w:szCs w:val="20"/>
              </w:rPr>
            </w:pPr>
            <w:r w:rsidRPr="00E7039B">
              <w:rPr>
                <w:sz w:val="20"/>
                <w:szCs w:val="20"/>
              </w:rPr>
              <w:t>6</w:t>
            </w:r>
          </w:p>
        </w:tc>
        <w:tc>
          <w:tcPr>
            <w:tcW w:w="1895" w:type="dxa"/>
            <w:vAlign w:val="center"/>
          </w:tcPr>
          <w:p w:rsidR="0010177B" w:rsidRPr="00E7039B" w:rsidRDefault="0010177B" w:rsidP="00E97178">
            <w:pPr>
              <w:jc w:val="center"/>
              <w:rPr>
                <w:sz w:val="20"/>
                <w:szCs w:val="20"/>
              </w:rPr>
            </w:pPr>
            <w:r w:rsidRPr="00E7039B">
              <w:rPr>
                <w:sz w:val="20"/>
                <w:szCs w:val="20"/>
              </w:rPr>
              <w:t>1750</w:t>
            </w:r>
          </w:p>
        </w:tc>
        <w:tc>
          <w:tcPr>
            <w:tcW w:w="2070" w:type="dxa"/>
            <w:vAlign w:val="center"/>
          </w:tcPr>
          <w:p w:rsidR="0010177B" w:rsidRPr="00E7039B" w:rsidRDefault="0010177B" w:rsidP="00E97178">
            <w:pPr>
              <w:jc w:val="center"/>
              <w:rPr>
                <w:sz w:val="20"/>
                <w:szCs w:val="20"/>
              </w:rPr>
            </w:pPr>
            <w:r w:rsidRPr="00E7039B">
              <w:rPr>
                <w:sz w:val="20"/>
                <w:szCs w:val="20"/>
              </w:rPr>
              <w:t>47</w:t>
            </w:r>
          </w:p>
        </w:tc>
      </w:tr>
    </w:tbl>
    <w:p w:rsidR="0010177B" w:rsidRDefault="0010177B" w:rsidP="0010177B"/>
    <w:p w:rsidR="0010177B" w:rsidRDefault="0010177B" w:rsidP="0010177B">
      <w:pPr>
        <w:sectPr w:rsidR="0010177B" w:rsidSect="00BE08FC">
          <w:type w:val="continuous"/>
          <w:pgSz w:w="12240" w:h="15840"/>
          <w:pgMar w:top="1152" w:right="1152" w:bottom="1152" w:left="1152" w:header="720" w:footer="144" w:gutter="0"/>
          <w:cols w:num="2" w:space="720" w:equalWidth="0">
            <w:col w:w="3888" w:space="720"/>
            <w:col w:w="5328"/>
          </w:cols>
          <w:docGrid w:linePitch="360"/>
        </w:sectPr>
      </w:pPr>
    </w:p>
    <w:p w:rsidR="0010177B" w:rsidRDefault="0010177B" w:rsidP="0010177B"/>
    <w:p w:rsidR="0010177B" w:rsidRPr="005515EF" w:rsidRDefault="0010177B" w:rsidP="0010177B">
      <w:r w:rsidRPr="005515EF">
        <w:t xml:space="preserve">Most septic tanks are made of </w:t>
      </w:r>
      <w:r w:rsidR="00855D58">
        <w:t xml:space="preserve">pre-cast </w:t>
      </w:r>
      <w:r w:rsidRPr="005515EF">
        <w:t>concrete</w:t>
      </w:r>
      <w:r w:rsidR="00855D58">
        <w:t>, cast-in-place concrete,</w:t>
      </w:r>
      <w:r w:rsidRPr="005515EF">
        <w:t xml:space="preserve"> </w:t>
      </w:r>
      <w:r w:rsidR="00855D58">
        <w:t>fiberglass, or polyethylene</w:t>
      </w:r>
      <w:r w:rsidRPr="005515EF">
        <w:t xml:space="preserve">. </w:t>
      </w:r>
      <w:r w:rsidR="00855D58">
        <w:t>S</w:t>
      </w:r>
      <w:r w:rsidRPr="005515EF">
        <w:t>teel septic tanks can be installed in New York State if they are certified for corrosion resistance</w:t>
      </w:r>
      <w:r w:rsidR="00855D58">
        <w:t xml:space="preserve"> but tank coatings must be refinished if damaged</w:t>
      </w:r>
      <w:r w:rsidRPr="005515EF">
        <w:t>.</w:t>
      </w:r>
    </w:p>
    <w:p w:rsidR="0010177B" w:rsidRPr="005515EF" w:rsidRDefault="0010177B" w:rsidP="0010177B"/>
    <w:p w:rsidR="0010177B" w:rsidRPr="005515EF" w:rsidRDefault="0010177B" w:rsidP="0010177B">
      <w:r w:rsidRPr="005515EF">
        <w:t>Consider asking your contractor to include such useful features as risers, junction boxes, and observation ports</w:t>
      </w:r>
      <w:r w:rsidR="00F53543">
        <w:t xml:space="preserve"> to make future maintenance easier</w:t>
      </w:r>
      <w:r w:rsidRPr="005515EF">
        <w:t>.</w:t>
      </w:r>
    </w:p>
    <w:p w:rsidR="0010177B" w:rsidRDefault="0010177B" w:rsidP="0010177B"/>
    <w:p w:rsidR="0010177B" w:rsidRPr="005515EF" w:rsidRDefault="003F561B" w:rsidP="0010177B">
      <w:r>
        <w:t xml:space="preserve">Effluent passes from the septic tank through pipes to a distribution box or similar device, and from there to trenches or other structures in the absorption area. </w:t>
      </w:r>
      <w:r w:rsidR="0010177B" w:rsidRPr="005515EF">
        <w:t xml:space="preserve">The design specifications for the </w:t>
      </w:r>
      <w:r w:rsidR="00F53543">
        <w:t>ab</w:t>
      </w:r>
      <w:r w:rsidR="008B1DCC">
        <w:t>s</w:t>
      </w:r>
      <w:r w:rsidR="00F53543">
        <w:t xml:space="preserve">orption area </w:t>
      </w:r>
      <w:r w:rsidR="0010177B" w:rsidRPr="005515EF">
        <w:t>depend on the results of your percolation test</w:t>
      </w:r>
      <w:r w:rsidR="00B5081D">
        <w:t xml:space="preserve">, </w:t>
      </w:r>
      <w:r w:rsidR="0010177B" w:rsidRPr="005515EF">
        <w:t>estimates of your household water usage</w:t>
      </w:r>
      <w:r w:rsidR="00B5081D">
        <w:t>, soil characteristics, and other factors</w:t>
      </w:r>
      <w:r w:rsidR="0010177B" w:rsidRPr="005515EF">
        <w:t xml:space="preserve">. See state </w:t>
      </w:r>
      <w:r w:rsidR="008B1DCC">
        <w:t xml:space="preserve">and local </w:t>
      </w:r>
      <w:r w:rsidR="0010177B" w:rsidRPr="005515EF">
        <w:t>regulations for details.</w:t>
      </w:r>
    </w:p>
    <w:p w:rsidR="0010177B" w:rsidRPr="005515EF" w:rsidRDefault="0010177B" w:rsidP="0010177B"/>
    <w:p w:rsidR="0010177B" w:rsidRDefault="003F561B" w:rsidP="0010177B">
      <w:r>
        <w:t>D</w:t>
      </w:r>
      <w:r w:rsidR="0010177B" w:rsidRPr="005515EF">
        <w:t>ocument the layout of the new septic system</w:t>
      </w:r>
      <w:r>
        <w:t xml:space="preserve"> for future reference and </w:t>
      </w:r>
      <w:r w:rsidR="0010177B" w:rsidRPr="005515EF">
        <w:t>record information about the installer</w:t>
      </w:r>
      <w:r>
        <w:t>(</w:t>
      </w:r>
      <w:r w:rsidR="0010177B" w:rsidRPr="005515EF">
        <w:t>s</w:t>
      </w:r>
      <w:r>
        <w:t xml:space="preserve">). </w:t>
      </w:r>
      <w:r w:rsidRPr="005515EF">
        <w:t>Once your waste disposal system is in use it will need regular maintenance</w:t>
      </w:r>
      <w:r>
        <w:t>. Keep records of what service is performed, when, and by whom.</w:t>
      </w:r>
    </w:p>
    <w:p w:rsidR="00715A7C" w:rsidRDefault="00715A7C" w:rsidP="0095727A">
      <w:pPr>
        <w:widowControl w:val="0"/>
        <w:rPr>
          <w:sz w:val="20"/>
          <w:szCs w:val="20"/>
        </w:rPr>
      </w:pPr>
    </w:p>
    <w:p w:rsidR="003C322E" w:rsidRPr="0095727A" w:rsidRDefault="0095727A" w:rsidP="0095727A">
      <w:pPr>
        <w:widowControl w:val="0"/>
        <w:rPr>
          <w:sz w:val="20"/>
          <w:szCs w:val="20"/>
        </w:rPr>
      </w:pPr>
      <w:r w:rsidRPr="000D7BE6">
        <w:rPr>
          <w:sz w:val="20"/>
          <w:szCs w:val="20"/>
        </w:rPr>
        <w:t xml:space="preserve">The original version of this publication was </w:t>
      </w:r>
      <w:r w:rsidR="003B47E3">
        <w:rPr>
          <w:sz w:val="20"/>
          <w:szCs w:val="20"/>
        </w:rPr>
        <w:t xml:space="preserve">written by Jo Ellen Saumier of </w:t>
      </w:r>
      <w:r w:rsidR="00AC1AFC">
        <w:rPr>
          <w:sz w:val="20"/>
          <w:szCs w:val="20"/>
        </w:rPr>
        <w:t xml:space="preserve">Cornell Cooperative Extension of </w:t>
      </w:r>
      <w:r w:rsidR="003B47E3" w:rsidRPr="000D7BE6">
        <w:rPr>
          <w:sz w:val="20"/>
          <w:szCs w:val="20"/>
        </w:rPr>
        <w:t>Rockland</w:t>
      </w:r>
      <w:r w:rsidR="003B47E3">
        <w:rPr>
          <w:sz w:val="20"/>
          <w:szCs w:val="20"/>
        </w:rPr>
        <w:t xml:space="preserve"> County and funded </w:t>
      </w:r>
      <w:r w:rsidRPr="000D7BE6">
        <w:rPr>
          <w:sz w:val="20"/>
          <w:szCs w:val="20"/>
        </w:rPr>
        <w:t>via a grant from the NYS Water Resources Institute with funds provided by the NY State Legislature through the Dept. of Agriculture and Markets. It was revised by A. Galford with input from county and NYS health departments and the CCE Water Resources PWT. This material is based upon work supported by Smith-Lever funds from the National Institute of Food and Agriculture, U.S. Department of Agriculture. Any opinions, findings, conclusions, or recommendations expressed in this publication are those of the authors and do not necessarily reflect the view of the U.S. Dept. of Agriculture. Printed 01/2013.</w:t>
      </w:r>
      <w:bookmarkStart w:id="0" w:name="_GoBack"/>
      <w:bookmarkEnd w:id="0"/>
    </w:p>
    <w:sectPr w:rsidR="003C322E" w:rsidRPr="0095727A" w:rsidSect="0023463D">
      <w:type w:val="continuous"/>
      <w:pgSz w:w="12240" w:h="15840"/>
      <w:pgMar w:top="1296" w:right="1008" w:bottom="1296"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6" w:rsidRDefault="00107826" w:rsidP="002C5D57">
      <w:r>
        <w:separator/>
      </w:r>
    </w:p>
  </w:endnote>
  <w:endnote w:type="continuationSeparator" w:id="0">
    <w:p w:rsidR="00107826" w:rsidRDefault="00107826" w:rsidP="002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AA" w:rsidRDefault="00F3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6" w:rsidRDefault="00107826" w:rsidP="002C5D57">
      <w:r>
        <w:separator/>
      </w:r>
    </w:p>
  </w:footnote>
  <w:footnote w:type="continuationSeparator" w:id="0">
    <w:p w:rsidR="00107826" w:rsidRDefault="00107826" w:rsidP="002C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B54"/>
    <w:multiLevelType w:val="hybridMultilevel"/>
    <w:tmpl w:val="8F8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7E2F"/>
    <w:multiLevelType w:val="hybridMultilevel"/>
    <w:tmpl w:val="3E7C6D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35651918"/>
    <w:multiLevelType w:val="multilevel"/>
    <w:tmpl w:val="B61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B4"/>
    <w:rsid w:val="000104C8"/>
    <w:rsid w:val="00016DE9"/>
    <w:rsid w:val="000211B6"/>
    <w:rsid w:val="00021834"/>
    <w:rsid w:val="00026362"/>
    <w:rsid w:val="000266DA"/>
    <w:rsid w:val="000305AE"/>
    <w:rsid w:val="0003150F"/>
    <w:rsid w:val="000321A6"/>
    <w:rsid w:val="00040764"/>
    <w:rsid w:val="0004246C"/>
    <w:rsid w:val="00043AC3"/>
    <w:rsid w:val="0004422F"/>
    <w:rsid w:val="00044A47"/>
    <w:rsid w:val="000517F9"/>
    <w:rsid w:val="00052B98"/>
    <w:rsid w:val="000546C6"/>
    <w:rsid w:val="00056D03"/>
    <w:rsid w:val="00060562"/>
    <w:rsid w:val="00065ECD"/>
    <w:rsid w:val="00067919"/>
    <w:rsid w:val="0007453C"/>
    <w:rsid w:val="00075EE6"/>
    <w:rsid w:val="000A4BFC"/>
    <w:rsid w:val="000A6E7E"/>
    <w:rsid w:val="000B0F33"/>
    <w:rsid w:val="000C6D01"/>
    <w:rsid w:val="000D0464"/>
    <w:rsid w:val="000D2DE2"/>
    <w:rsid w:val="000D3991"/>
    <w:rsid w:val="000D39DE"/>
    <w:rsid w:val="000D58D1"/>
    <w:rsid w:val="000D7BE6"/>
    <w:rsid w:val="000E255F"/>
    <w:rsid w:val="000E4747"/>
    <w:rsid w:val="000E7E41"/>
    <w:rsid w:val="000F7921"/>
    <w:rsid w:val="0010177B"/>
    <w:rsid w:val="0010449F"/>
    <w:rsid w:val="00105FCF"/>
    <w:rsid w:val="001062AE"/>
    <w:rsid w:val="00106727"/>
    <w:rsid w:val="00107826"/>
    <w:rsid w:val="001255E5"/>
    <w:rsid w:val="00133673"/>
    <w:rsid w:val="00141808"/>
    <w:rsid w:val="00142DC6"/>
    <w:rsid w:val="00146AD5"/>
    <w:rsid w:val="00153613"/>
    <w:rsid w:val="00154057"/>
    <w:rsid w:val="00156584"/>
    <w:rsid w:val="00163D8A"/>
    <w:rsid w:val="00165A81"/>
    <w:rsid w:val="00167F59"/>
    <w:rsid w:val="00173CA8"/>
    <w:rsid w:val="0017498E"/>
    <w:rsid w:val="0017561A"/>
    <w:rsid w:val="00176C65"/>
    <w:rsid w:val="00181631"/>
    <w:rsid w:val="00181938"/>
    <w:rsid w:val="00185AD4"/>
    <w:rsid w:val="001926AE"/>
    <w:rsid w:val="00193F7A"/>
    <w:rsid w:val="001B1078"/>
    <w:rsid w:val="001B15FE"/>
    <w:rsid w:val="001B4EA2"/>
    <w:rsid w:val="001B60E0"/>
    <w:rsid w:val="001B6C8F"/>
    <w:rsid w:val="001C28FF"/>
    <w:rsid w:val="001C4943"/>
    <w:rsid w:val="001E6058"/>
    <w:rsid w:val="001F00AA"/>
    <w:rsid w:val="00207890"/>
    <w:rsid w:val="0021145B"/>
    <w:rsid w:val="00216DAB"/>
    <w:rsid w:val="002207EB"/>
    <w:rsid w:val="00226ABD"/>
    <w:rsid w:val="00230F0E"/>
    <w:rsid w:val="0023124E"/>
    <w:rsid w:val="00231848"/>
    <w:rsid w:val="00231FB9"/>
    <w:rsid w:val="00232C0E"/>
    <w:rsid w:val="002338FE"/>
    <w:rsid w:val="0023463D"/>
    <w:rsid w:val="00243C85"/>
    <w:rsid w:val="00243D51"/>
    <w:rsid w:val="00252463"/>
    <w:rsid w:val="00255292"/>
    <w:rsid w:val="00260832"/>
    <w:rsid w:val="002632CB"/>
    <w:rsid w:val="00263AAB"/>
    <w:rsid w:val="00274A3F"/>
    <w:rsid w:val="00275059"/>
    <w:rsid w:val="00280C5A"/>
    <w:rsid w:val="00283CAE"/>
    <w:rsid w:val="00285C24"/>
    <w:rsid w:val="002A1B39"/>
    <w:rsid w:val="002A1E59"/>
    <w:rsid w:val="002A45AF"/>
    <w:rsid w:val="002B0A0F"/>
    <w:rsid w:val="002B0F03"/>
    <w:rsid w:val="002C0B0A"/>
    <w:rsid w:val="002C5D57"/>
    <w:rsid w:val="002D0F50"/>
    <w:rsid w:val="002D556C"/>
    <w:rsid w:val="002D770D"/>
    <w:rsid w:val="002E0780"/>
    <w:rsid w:val="002E2142"/>
    <w:rsid w:val="002E7001"/>
    <w:rsid w:val="002F0C50"/>
    <w:rsid w:val="002F4820"/>
    <w:rsid w:val="002F53E6"/>
    <w:rsid w:val="00306FB1"/>
    <w:rsid w:val="003102E6"/>
    <w:rsid w:val="00312A97"/>
    <w:rsid w:val="00317D4D"/>
    <w:rsid w:val="00324ED0"/>
    <w:rsid w:val="00326710"/>
    <w:rsid w:val="00335131"/>
    <w:rsid w:val="003365F1"/>
    <w:rsid w:val="00346AAF"/>
    <w:rsid w:val="00352ED3"/>
    <w:rsid w:val="00362561"/>
    <w:rsid w:val="00364C15"/>
    <w:rsid w:val="003665BB"/>
    <w:rsid w:val="00371B25"/>
    <w:rsid w:val="00371BAC"/>
    <w:rsid w:val="0037658E"/>
    <w:rsid w:val="00382370"/>
    <w:rsid w:val="00384C56"/>
    <w:rsid w:val="00385104"/>
    <w:rsid w:val="0039054A"/>
    <w:rsid w:val="00394A90"/>
    <w:rsid w:val="003B4623"/>
    <w:rsid w:val="003B47E3"/>
    <w:rsid w:val="003B54B9"/>
    <w:rsid w:val="003C3098"/>
    <w:rsid w:val="003C322E"/>
    <w:rsid w:val="003D684F"/>
    <w:rsid w:val="003E1F84"/>
    <w:rsid w:val="003E4D26"/>
    <w:rsid w:val="003E5A6F"/>
    <w:rsid w:val="003F0C03"/>
    <w:rsid w:val="003F22CD"/>
    <w:rsid w:val="003F34B2"/>
    <w:rsid w:val="003F3971"/>
    <w:rsid w:val="003F4B76"/>
    <w:rsid w:val="003F561B"/>
    <w:rsid w:val="003F5CC9"/>
    <w:rsid w:val="00403967"/>
    <w:rsid w:val="00410587"/>
    <w:rsid w:val="00412C2B"/>
    <w:rsid w:val="004147BE"/>
    <w:rsid w:val="00416263"/>
    <w:rsid w:val="004200A9"/>
    <w:rsid w:val="00423713"/>
    <w:rsid w:val="004237DF"/>
    <w:rsid w:val="00427391"/>
    <w:rsid w:val="0044391F"/>
    <w:rsid w:val="00447F74"/>
    <w:rsid w:val="004503B3"/>
    <w:rsid w:val="004509D4"/>
    <w:rsid w:val="00451D8F"/>
    <w:rsid w:val="0045533F"/>
    <w:rsid w:val="00456564"/>
    <w:rsid w:val="004622D8"/>
    <w:rsid w:val="00474EB2"/>
    <w:rsid w:val="004850FD"/>
    <w:rsid w:val="00485E74"/>
    <w:rsid w:val="004A0230"/>
    <w:rsid w:val="004A0DC6"/>
    <w:rsid w:val="004C07CA"/>
    <w:rsid w:val="004C60D3"/>
    <w:rsid w:val="004D6DC2"/>
    <w:rsid w:val="004E6B11"/>
    <w:rsid w:val="004F0720"/>
    <w:rsid w:val="004F13A4"/>
    <w:rsid w:val="004F1B3E"/>
    <w:rsid w:val="004F2BD5"/>
    <w:rsid w:val="00506DC7"/>
    <w:rsid w:val="005079C7"/>
    <w:rsid w:val="00515444"/>
    <w:rsid w:val="00520DC0"/>
    <w:rsid w:val="00530508"/>
    <w:rsid w:val="00530E45"/>
    <w:rsid w:val="005310C9"/>
    <w:rsid w:val="00531CA5"/>
    <w:rsid w:val="005353EA"/>
    <w:rsid w:val="00541234"/>
    <w:rsid w:val="00542433"/>
    <w:rsid w:val="0054432B"/>
    <w:rsid w:val="005479CA"/>
    <w:rsid w:val="005515EF"/>
    <w:rsid w:val="005534DB"/>
    <w:rsid w:val="0055555F"/>
    <w:rsid w:val="00560C2F"/>
    <w:rsid w:val="00564963"/>
    <w:rsid w:val="00567563"/>
    <w:rsid w:val="00576BED"/>
    <w:rsid w:val="00581DD7"/>
    <w:rsid w:val="00584E77"/>
    <w:rsid w:val="005912B6"/>
    <w:rsid w:val="00591657"/>
    <w:rsid w:val="005916E9"/>
    <w:rsid w:val="00592979"/>
    <w:rsid w:val="00592E24"/>
    <w:rsid w:val="00593253"/>
    <w:rsid w:val="00594505"/>
    <w:rsid w:val="005971F9"/>
    <w:rsid w:val="00597255"/>
    <w:rsid w:val="005A2422"/>
    <w:rsid w:val="005A7E67"/>
    <w:rsid w:val="005B008B"/>
    <w:rsid w:val="005B4BA4"/>
    <w:rsid w:val="005B6214"/>
    <w:rsid w:val="005B69EC"/>
    <w:rsid w:val="005C260F"/>
    <w:rsid w:val="005C30A7"/>
    <w:rsid w:val="005C4C47"/>
    <w:rsid w:val="005C7B22"/>
    <w:rsid w:val="005D1EBA"/>
    <w:rsid w:val="005E0227"/>
    <w:rsid w:val="005E3A25"/>
    <w:rsid w:val="005E5631"/>
    <w:rsid w:val="005F163F"/>
    <w:rsid w:val="005F2E17"/>
    <w:rsid w:val="005F3CBA"/>
    <w:rsid w:val="005F3D65"/>
    <w:rsid w:val="00605F13"/>
    <w:rsid w:val="006112D1"/>
    <w:rsid w:val="00613EB1"/>
    <w:rsid w:val="006151C2"/>
    <w:rsid w:val="00627BCF"/>
    <w:rsid w:val="00627BD5"/>
    <w:rsid w:val="00632775"/>
    <w:rsid w:val="00633F0E"/>
    <w:rsid w:val="00635A67"/>
    <w:rsid w:val="00637389"/>
    <w:rsid w:val="00646FC9"/>
    <w:rsid w:val="0065169D"/>
    <w:rsid w:val="00652112"/>
    <w:rsid w:val="006541C4"/>
    <w:rsid w:val="00654B43"/>
    <w:rsid w:val="00654FB3"/>
    <w:rsid w:val="006634FE"/>
    <w:rsid w:val="006658CE"/>
    <w:rsid w:val="00677860"/>
    <w:rsid w:val="006815DA"/>
    <w:rsid w:val="00685947"/>
    <w:rsid w:val="00685F54"/>
    <w:rsid w:val="00687DA0"/>
    <w:rsid w:val="006908AF"/>
    <w:rsid w:val="00690F8D"/>
    <w:rsid w:val="00694A82"/>
    <w:rsid w:val="006A5E38"/>
    <w:rsid w:val="006B2BC1"/>
    <w:rsid w:val="006C2A46"/>
    <w:rsid w:val="006C4D22"/>
    <w:rsid w:val="006D3A83"/>
    <w:rsid w:val="006E27C0"/>
    <w:rsid w:val="006E5A10"/>
    <w:rsid w:val="006F229D"/>
    <w:rsid w:val="006F3630"/>
    <w:rsid w:val="006F4A29"/>
    <w:rsid w:val="007045EC"/>
    <w:rsid w:val="0071335B"/>
    <w:rsid w:val="00713A01"/>
    <w:rsid w:val="007146F9"/>
    <w:rsid w:val="00715A7C"/>
    <w:rsid w:val="00722DAE"/>
    <w:rsid w:val="007238B6"/>
    <w:rsid w:val="00723B30"/>
    <w:rsid w:val="007260D2"/>
    <w:rsid w:val="00727372"/>
    <w:rsid w:val="0074271F"/>
    <w:rsid w:val="00743C9E"/>
    <w:rsid w:val="00746E89"/>
    <w:rsid w:val="00752ADF"/>
    <w:rsid w:val="007566B0"/>
    <w:rsid w:val="00761395"/>
    <w:rsid w:val="00763123"/>
    <w:rsid w:val="00771BE1"/>
    <w:rsid w:val="00777904"/>
    <w:rsid w:val="007806E5"/>
    <w:rsid w:val="0078633B"/>
    <w:rsid w:val="00796F33"/>
    <w:rsid w:val="00797299"/>
    <w:rsid w:val="007A0B4C"/>
    <w:rsid w:val="007A127A"/>
    <w:rsid w:val="007A53ED"/>
    <w:rsid w:val="007A56A4"/>
    <w:rsid w:val="007B1828"/>
    <w:rsid w:val="007B6424"/>
    <w:rsid w:val="007B6517"/>
    <w:rsid w:val="007C24D0"/>
    <w:rsid w:val="007C5DA3"/>
    <w:rsid w:val="007C6DEB"/>
    <w:rsid w:val="007D04E5"/>
    <w:rsid w:val="007D3928"/>
    <w:rsid w:val="007D7188"/>
    <w:rsid w:val="007D74DA"/>
    <w:rsid w:val="007E5BCF"/>
    <w:rsid w:val="007F4F5B"/>
    <w:rsid w:val="007F6F7A"/>
    <w:rsid w:val="00806CE1"/>
    <w:rsid w:val="00807369"/>
    <w:rsid w:val="00823A2C"/>
    <w:rsid w:val="00823B41"/>
    <w:rsid w:val="00832F84"/>
    <w:rsid w:val="00837200"/>
    <w:rsid w:val="00840AB2"/>
    <w:rsid w:val="008426B2"/>
    <w:rsid w:val="008525BE"/>
    <w:rsid w:val="00854FA2"/>
    <w:rsid w:val="008555E3"/>
    <w:rsid w:val="00855D58"/>
    <w:rsid w:val="00861D42"/>
    <w:rsid w:val="00864438"/>
    <w:rsid w:val="00864A9E"/>
    <w:rsid w:val="0087100B"/>
    <w:rsid w:val="00882F8E"/>
    <w:rsid w:val="00883E45"/>
    <w:rsid w:val="008A07CD"/>
    <w:rsid w:val="008A1E2F"/>
    <w:rsid w:val="008A7A89"/>
    <w:rsid w:val="008B0B42"/>
    <w:rsid w:val="008B1638"/>
    <w:rsid w:val="008B1DCC"/>
    <w:rsid w:val="008B4B9E"/>
    <w:rsid w:val="008C529B"/>
    <w:rsid w:val="008C5970"/>
    <w:rsid w:val="008C5EF7"/>
    <w:rsid w:val="008C616C"/>
    <w:rsid w:val="008D13D7"/>
    <w:rsid w:val="008E4821"/>
    <w:rsid w:val="008E724B"/>
    <w:rsid w:val="008F18D6"/>
    <w:rsid w:val="008F2F11"/>
    <w:rsid w:val="009061FC"/>
    <w:rsid w:val="009107BC"/>
    <w:rsid w:val="0091381C"/>
    <w:rsid w:val="00915130"/>
    <w:rsid w:val="00933282"/>
    <w:rsid w:val="00936D40"/>
    <w:rsid w:val="0094585E"/>
    <w:rsid w:val="0095271D"/>
    <w:rsid w:val="0095727A"/>
    <w:rsid w:val="00965A03"/>
    <w:rsid w:val="00971ECC"/>
    <w:rsid w:val="009725E4"/>
    <w:rsid w:val="0097389D"/>
    <w:rsid w:val="00991C9C"/>
    <w:rsid w:val="0099740B"/>
    <w:rsid w:val="009A4C15"/>
    <w:rsid w:val="009B2AB4"/>
    <w:rsid w:val="009B5E5B"/>
    <w:rsid w:val="009C6EBC"/>
    <w:rsid w:val="009D3BC6"/>
    <w:rsid w:val="009D56C9"/>
    <w:rsid w:val="009E048A"/>
    <w:rsid w:val="009E1208"/>
    <w:rsid w:val="009E6464"/>
    <w:rsid w:val="00A00B60"/>
    <w:rsid w:val="00A00CC6"/>
    <w:rsid w:val="00A017E3"/>
    <w:rsid w:val="00A03BCD"/>
    <w:rsid w:val="00A14467"/>
    <w:rsid w:val="00A22205"/>
    <w:rsid w:val="00A326D4"/>
    <w:rsid w:val="00A354AB"/>
    <w:rsid w:val="00A42292"/>
    <w:rsid w:val="00A60810"/>
    <w:rsid w:val="00A730C5"/>
    <w:rsid w:val="00A73A2E"/>
    <w:rsid w:val="00A76F2C"/>
    <w:rsid w:val="00A83C8C"/>
    <w:rsid w:val="00A83FA4"/>
    <w:rsid w:val="00A845F9"/>
    <w:rsid w:val="00A87BBF"/>
    <w:rsid w:val="00A9383F"/>
    <w:rsid w:val="00A953CB"/>
    <w:rsid w:val="00A96355"/>
    <w:rsid w:val="00AA0A61"/>
    <w:rsid w:val="00AA0B21"/>
    <w:rsid w:val="00AA49D7"/>
    <w:rsid w:val="00AC1AFC"/>
    <w:rsid w:val="00AC748F"/>
    <w:rsid w:val="00AE242F"/>
    <w:rsid w:val="00AE28D6"/>
    <w:rsid w:val="00AE4984"/>
    <w:rsid w:val="00AE5689"/>
    <w:rsid w:val="00AE790D"/>
    <w:rsid w:val="00AF0A62"/>
    <w:rsid w:val="00AF2A66"/>
    <w:rsid w:val="00AF4498"/>
    <w:rsid w:val="00AF6EC8"/>
    <w:rsid w:val="00AF749A"/>
    <w:rsid w:val="00AF7C41"/>
    <w:rsid w:val="00B01B9D"/>
    <w:rsid w:val="00B064E8"/>
    <w:rsid w:val="00B139AC"/>
    <w:rsid w:val="00B1424B"/>
    <w:rsid w:val="00B15BDB"/>
    <w:rsid w:val="00B212F0"/>
    <w:rsid w:val="00B24E2E"/>
    <w:rsid w:val="00B302D6"/>
    <w:rsid w:val="00B32B96"/>
    <w:rsid w:val="00B33CEF"/>
    <w:rsid w:val="00B35D20"/>
    <w:rsid w:val="00B35F10"/>
    <w:rsid w:val="00B366EB"/>
    <w:rsid w:val="00B4423F"/>
    <w:rsid w:val="00B4451E"/>
    <w:rsid w:val="00B5081D"/>
    <w:rsid w:val="00B53416"/>
    <w:rsid w:val="00B56469"/>
    <w:rsid w:val="00B6059B"/>
    <w:rsid w:val="00B6431A"/>
    <w:rsid w:val="00B64B7D"/>
    <w:rsid w:val="00B71750"/>
    <w:rsid w:val="00B76D36"/>
    <w:rsid w:val="00B77413"/>
    <w:rsid w:val="00B80895"/>
    <w:rsid w:val="00B81CE5"/>
    <w:rsid w:val="00B82221"/>
    <w:rsid w:val="00B94F55"/>
    <w:rsid w:val="00B962CB"/>
    <w:rsid w:val="00B96666"/>
    <w:rsid w:val="00B97230"/>
    <w:rsid w:val="00BA092D"/>
    <w:rsid w:val="00BA0C57"/>
    <w:rsid w:val="00BA4774"/>
    <w:rsid w:val="00BA5496"/>
    <w:rsid w:val="00BB1909"/>
    <w:rsid w:val="00BB55DE"/>
    <w:rsid w:val="00BB6525"/>
    <w:rsid w:val="00BB79E2"/>
    <w:rsid w:val="00BC09C8"/>
    <w:rsid w:val="00BC26AD"/>
    <w:rsid w:val="00BC4A68"/>
    <w:rsid w:val="00BD1E61"/>
    <w:rsid w:val="00BD3EF0"/>
    <w:rsid w:val="00BE08FC"/>
    <w:rsid w:val="00BE16CF"/>
    <w:rsid w:val="00BE295F"/>
    <w:rsid w:val="00BE5923"/>
    <w:rsid w:val="00BE779C"/>
    <w:rsid w:val="00BF02E0"/>
    <w:rsid w:val="00BF38BE"/>
    <w:rsid w:val="00BF4000"/>
    <w:rsid w:val="00C035ED"/>
    <w:rsid w:val="00C14F0E"/>
    <w:rsid w:val="00C164A0"/>
    <w:rsid w:val="00C17B37"/>
    <w:rsid w:val="00C243F2"/>
    <w:rsid w:val="00C260F3"/>
    <w:rsid w:val="00C3317C"/>
    <w:rsid w:val="00C333A1"/>
    <w:rsid w:val="00C3492B"/>
    <w:rsid w:val="00C4061E"/>
    <w:rsid w:val="00C42F2A"/>
    <w:rsid w:val="00C505A4"/>
    <w:rsid w:val="00C5554B"/>
    <w:rsid w:val="00C56FB8"/>
    <w:rsid w:val="00C5716E"/>
    <w:rsid w:val="00C628F7"/>
    <w:rsid w:val="00C66C3C"/>
    <w:rsid w:val="00C71088"/>
    <w:rsid w:val="00C740E4"/>
    <w:rsid w:val="00C905B0"/>
    <w:rsid w:val="00C9133C"/>
    <w:rsid w:val="00C91C44"/>
    <w:rsid w:val="00C92D2F"/>
    <w:rsid w:val="00C93603"/>
    <w:rsid w:val="00C93734"/>
    <w:rsid w:val="00CA6EEF"/>
    <w:rsid w:val="00CB0A5C"/>
    <w:rsid w:val="00CB4CAE"/>
    <w:rsid w:val="00CB7070"/>
    <w:rsid w:val="00CC4663"/>
    <w:rsid w:val="00CC6B7C"/>
    <w:rsid w:val="00CF0641"/>
    <w:rsid w:val="00D02B09"/>
    <w:rsid w:val="00D11C38"/>
    <w:rsid w:val="00D15306"/>
    <w:rsid w:val="00D160EF"/>
    <w:rsid w:val="00D1746A"/>
    <w:rsid w:val="00D26D10"/>
    <w:rsid w:val="00D26ED3"/>
    <w:rsid w:val="00D279AA"/>
    <w:rsid w:val="00D31FC1"/>
    <w:rsid w:val="00D5249A"/>
    <w:rsid w:val="00D52E74"/>
    <w:rsid w:val="00D530CC"/>
    <w:rsid w:val="00D53E47"/>
    <w:rsid w:val="00D5612F"/>
    <w:rsid w:val="00D656BE"/>
    <w:rsid w:val="00D72021"/>
    <w:rsid w:val="00D765E7"/>
    <w:rsid w:val="00D77387"/>
    <w:rsid w:val="00D77613"/>
    <w:rsid w:val="00D80076"/>
    <w:rsid w:val="00D85028"/>
    <w:rsid w:val="00DA3220"/>
    <w:rsid w:val="00DA5315"/>
    <w:rsid w:val="00DB4461"/>
    <w:rsid w:val="00DC0541"/>
    <w:rsid w:val="00DC3963"/>
    <w:rsid w:val="00DC5E80"/>
    <w:rsid w:val="00DD3370"/>
    <w:rsid w:val="00DE108E"/>
    <w:rsid w:val="00DE5059"/>
    <w:rsid w:val="00DF2D56"/>
    <w:rsid w:val="00DF780C"/>
    <w:rsid w:val="00E053DB"/>
    <w:rsid w:val="00E16080"/>
    <w:rsid w:val="00E20301"/>
    <w:rsid w:val="00E260E9"/>
    <w:rsid w:val="00E47D20"/>
    <w:rsid w:val="00E535AF"/>
    <w:rsid w:val="00E56FC1"/>
    <w:rsid w:val="00E6076C"/>
    <w:rsid w:val="00E61065"/>
    <w:rsid w:val="00E6606E"/>
    <w:rsid w:val="00E7039B"/>
    <w:rsid w:val="00E70429"/>
    <w:rsid w:val="00E71B60"/>
    <w:rsid w:val="00E76203"/>
    <w:rsid w:val="00E776F4"/>
    <w:rsid w:val="00E9347B"/>
    <w:rsid w:val="00E94CDD"/>
    <w:rsid w:val="00E966BA"/>
    <w:rsid w:val="00E97675"/>
    <w:rsid w:val="00EA05EF"/>
    <w:rsid w:val="00EA1492"/>
    <w:rsid w:val="00EA2738"/>
    <w:rsid w:val="00EA2B05"/>
    <w:rsid w:val="00EA7D44"/>
    <w:rsid w:val="00EB39FB"/>
    <w:rsid w:val="00EB773F"/>
    <w:rsid w:val="00EC0A6A"/>
    <w:rsid w:val="00EC128E"/>
    <w:rsid w:val="00EC2961"/>
    <w:rsid w:val="00EC489E"/>
    <w:rsid w:val="00EC6A4E"/>
    <w:rsid w:val="00ED25F5"/>
    <w:rsid w:val="00EE1564"/>
    <w:rsid w:val="00EE4BAC"/>
    <w:rsid w:val="00EE6F2D"/>
    <w:rsid w:val="00EF3251"/>
    <w:rsid w:val="00EF648A"/>
    <w:rsid w:val="00F00F76"/>
    <w:rsid w:val="00F01DF6"/>
    <w:rsid w:val="00F075D1"/>
    <w:rsid w:val="00F07C5B"/>
    <w:rsid w:val="00F10ED8"/>
    <w:rsid w:val="00F13D7A"/>
    <w:rsid w:val="00F15B3F"/>
    <w:rsid w:val="00F220BF"/>
    <w:rsid w:val="00F236A4"/>
    <w:rsid w:val="00F24206"/>
    <w:rsid w:val="00F247AD"/>
    <w:rsid w:val="00F24B9B"/>
    <w:rsid w:val="00F306AA"/>
    <w:rsid w:val="00F36082"/>
    <w:rsid w:val="00F47DDA"/>
    <w:rsid w:val="00F53543"/>
    <w:rsid w:val="00F60898"/>
    <w:rsid w:val="00F6210A"/>
    <w:rsid w:val="00F62AAF"/>
    <w:rsid w:val="00F62EE6"/>
    <w:rsid w:val="00F63EA5"/>
    <w:rsid w:val="00F70831"/>
    <w:rsid w:val="00F735EC"/>
    <w:rsid w:val="00F752FE"/>
    <w:rsid w:val="00F75BA3"/>
    <w:rsid w:val="00F77325"/>
    <w:rsid w:val="00F833B6"/>
    <w:rsid w:val="00F83D38"/>
    <w:rsid w:val="00F842EF"/>
    <w:rsid w:val="00F85C70"/>
    <w:rsid w:val="00FA4857"/>
    <w:rsid w:val="00FA5F9C"/>
    <w:rsid w:val="00FB0CB3"/>
    <w:rsid w:val="00FC0727"/>
    <w:rsid w:val="00FC1609"/>
    <w:rsid w:val="00FC2CD9"/>
    <w:rsid w:val="00FC57DA"/>
    <w:rsid w:val="00FC7AFE"/>
    <w:rsid w:val="00FD0AE5"/>
    <w:rsid w:val="00FD4E5C"/>
    <w:rsid w:val="00FE0623"/>
    <w:rsid w:val="00FE1055"/>
    <w:rsid w:val="00FE1B7B"/>
    <w:rsid w:val="00FE4DB1"/>
    <w:rsid w:val="00FE4EAC"/>
    <w:rsid w:val="00FE59AC"/>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648">
      <w:bodyDiv w:val="1"/>
      <w:marLeft w:val="0"/>
      <w:marRight w:val="0"/>
      <w:marTop w:val="0"/>
      <w:marBottom w:val="0"/>
      <w:divBdr>
        <w:top w:val="none" w:sz="0" w:space="0" w:color="auto"/>
        <w:left w:val="none" w:sz="0" w:space="0" w:color="auto"/>
        <w:bottom w:val="none" w:sz="0" w:space="0" w:color="auto"/>
        <w:right w:val="none" w:sz="0" w:space="0" w:color="auto"/>
      </w:divBdr>
    </w:div>
    <w:div w:id="205410481">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 w:id="631398744">
      <w:bodyDiv w:val="1"/>
      <w:marLeft w:val="0"/>
      <w:marRight w:val="0"/>
      <w:marTop w:val="0"/>
      <w:marBottom w:val="0"/>
      <w:divBdr>
        <w:top w:val="none" w:sz="0" w:space="0" w:color="auto"/>
        <w:left w:val="none" w:sz="0" w:space="0" w:color="auto"/>
        <w:bottom w:val="none" w:sz="0" w:space="0" w:color="auto"/>
        <w:right w:val="none" w:sz="0" w:space="0" w:color="auto"/>
      </w:divBdr>
    </w:div>
    <w:div w:id="796485400">
      <w:bodyDiv w:val="1"/>
      <w:marLeft w:val="0"/>
      <w:marRight w:val="0"/>
      <w:marTop w:val="0"/>
      <w:marBottom w:val="0"/>
      <w:divBdr>
        <w:top w:val="none" w:sz="0" w:space="0" w:color="auto"/>
        <w:left w:val="none" w:sz="0" w:space="0" w:color="auto"/>
        <w:bottom w:val="none" w:sz="0" w:space="0" w:color="auto"/>
        <w:right w:val="none" w:sz="0" w:space="0" w:color="auto"/>
      </w:divBdr>
    </w:div>
    <w:div w:id="878399319">
      <w:bodyDiv w:val="1"/>
      <w:marLeft w:val="0"/>
      <w:marRight w:val="0"/>
      <w:marTop w:val="0"/>
      <w:marBottom w:val="0"/>
      <w:divBdr>
        <w:top w:val="none" w:sz="0" w:space="0" w:color="auto"/>
        <w:left w:val="none" w:sz="0" w:space="0" w:color="auto"/>
        <w:bottom w:val="none" w:sz="0" w:space="0" w:color="auto"/>
        <w:right w:val="none" w:sz="0" w:space="0" w:color="auto"/>
      </w:divBdr>
    </w:div>
    <w:div w:id="1002506776">
      <w:bodyDiv w:val="1"/>
      <w:marLeft w:val="0"/>
      <w:marRight w:val="0"/>
      <w:marTop w:val="0"/>
      <w:marBottom w:val="0"/>
      <w:divBdr>
        <w:top w:val="none" w:sz="0" w:space="0" w:color="auto"/>
        <w:left w:val="none" w:sz="0" w:space="0" w:color="auto"/>
        <w:bottom w:val="none" w:sz="0" w:space="0" w:color="auto"/>
        <w:right w:val="none" w:sz="0" w:space="0" w:color="auto"/>
      </w:divBdr>
    </w:div>
    <w:div w:id="1242372988">
      <w:bodyDiv w:val="1"/>
      <w:marLeft w:val="0"/>
      <w:marRight w:val="0"/>
      <w:marTop w:val="0"/>
      <w:marBottom w:val="0"/>
      <w:divBdr>
        <w:top w:val="none" w:sz="0" w:space="0" w:color="auto"/>
        <w:left w:val="none" w:sz="0" w:space="0" w:color="auto"/>
        <w:bottom w:val="none" w:sz="0" w:space="0" w:color="auto"/>
        <w:right w:val="none" w:sz="0" w:space="0" w:color="auto"/>
      </w:divBdr>
    </w:div>
    <w:div w:id="1273587080">
      <w:bodyDiv w:val="1"/>
      <w:marLeft w:val="0"/>
      <w:marRight w:val="0"/>
      <w:marTop w:val="0"/>
      <w:marBottom w:val="0"/>
      <w:divBdr>
        <w:top w:val="none" w:sz="0" w:space="0" w:color="auto"/>
        <w:left w:val="none" w:sz="0" w:space="0" w:color="auto"/>
        <w:bottom w:val="none" w:sz="0" w:space="0" w:color="auto"/>
        <w:right w:val="none" w:sz="0" w:space="0" w:color="auto"/>
      </w:divBdr>
    </w:div>
    <w:div w:id="1410733223">
      <w:bodyDiv w:val="1"/>
      <w:marLeft w:val="0"/>
      <w:marRight w:val="0"/>
      <w:marTop w:val="0"/>
      <w:marBottom w:val="0"/>
      <w:divBdr>
        <w:top w:val="none" w:sz="0" w:space="0" w:color="auto"/>
        <w:left w:val="none" w:sz="0" w:space="0" w:color="auto"/>
        <w:bottom w:val="none" w:sz="0" w:space="0" w:color="auto"/>
        <w:right w:val="none" w:sz="0" w:space="0" w:color="auto"/>
      </w:divBdr>
    </w:div>
    <w:div w:id="1579827041">
      <w:bodyDiv w:val="1"/>
      <w:marLeft w:val="0"/>
      <w:marRight w:val="0"/>
      <w:marTop w:val="0"/>
      <w:marBottom w:val="0"/>
      <w:divBdr>
        <w:top w:val="none" w:sz="0" w:space="0" w:color="auto"/>
        <w:left w:val="none" w:sz="0" w:space="0" w:color="auto"/>
        <w:bottom w:val="none" w:sz="0" w:space="0" w:color="auto"/>
        <w:right w:val="none" w:sz="0" w:space="0" w:color="auto"/>
      </w:divBdr>
    </w:div>
    <w:div w:id="1718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ny.gov/regulations/nycrr/title_10/part_75/appendix_75-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health.ny.gov/regulations/nycrr/title_10/part_75/appendix_75-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8838C-7945-4BE3-8687-4AC1BF27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2</Pages>
  <Words>946</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Cornell Cooperative Extension Publication FS-1</vt:lpstr>
    </vt:vector>
  </TitlesOfParts>
  <Company>Cornell University</Company>
  <LinksUpToDate>false</LinksUpToDate>
  <CharactersWithSpaces>6426</CharactersWithSpaces>
  <SharedDoc>false</SharedDoc>
  <HLinks>
    <vt:vector size="114" baseType="variant">
      <vt:variant>
        <vt:i4>1966157</vt:i4>
      </vt:variant>
      <vt:variant>
        <vt:i4>54</vt:i4>
      </vt:variant>
      <vt:variant>
        <vt:i4>0</vt:i4>
      </vt:variant>
      <vt:variant>
        <vt:i4>5</vt:i4>
      </vt:variant>
      <vt:variant>
        <vt:lpwstr>http://www.nysfola.org/diet/</vt:lpwstr>
      </vt:variant>
      <vt:variant>
        <vt:lpwstr/>
      </vt:variant>
      <vt:variant>
        <vt:i4>7208990</vt:i4>
      </vt:variant>
      <vt:variant>
        <vt:i4>51</vt:i4>
      </vt:variant>
      <vt:variant>
        <vt:i4>0</vt:i4>
      </vt:variant>
      <vt:variant>
        <vt:i4>5</vt:i4>
      </vt:variant>
      <vt:variant>
        <vt:lpwstr>http://www.nesc.wvu.edu/pdf/ww/septic/pl_fall04.pdf</vt:lpwstr>
      </vt:variant>
      <vt:variant>
        <vt:lpwstr/>
      </vt:variant>
      <vt:variant>
        <vt:i4>2752552</vt:i4>
      </vt:variant>
      <vt:variant>
        <vt:i4>48</vt:i4>
      </vt:variant>
      <vt:variant>
        <vt:i4>0</vt:i4>
      </vt:variant>
      <vt:variant>
        <vt:i4>5</vt:i4>
      </vt:variant>
      <vt:variant>
        <vt:lpwstr>http://www.epa.gov/owm/septic/pubs/homeowner_guide_long.pdf</vt:lpwstr>
      </vt:variant>
      <vt:variant>
        <vt:lpwstr/>
      </vt:variant>
      <vt:variant>
        <vt:i4>2818099</vt:i4>
      </vt:variant>
      <vt:variant>
        <vt:i4>45</vt:i4>
      </vt:variant>
      <vt:variant>
        <vt:i4>0</vt:i4>
      </vt:variant>
      <vt:variant>
        <vt:i4>5</vt:i4>
      </vt:variant>
      <vt:variant>
        <vt:lpwstr>http://waterquality.cce.cornell.edu/septic.htm</vt:lpwstr>
      </vt:variant>
      <vt:variant>
        <vt:lpwstr/>
      </vt:variant>
      <vt:variant>
        <vt:i4>4915246</vt:i4>
      </vt:variant>
      <vt:variant>
        <vt:i4>42</vt:i4>
      </vt:variant>
      <vt:variant>
        <vt:i4>0</vt:i4>
      </vt:variant>
      <vt:variant>
        <vt:i4>5</vt:i4>
      </vt:variant>
      <vt:variant>
        <vt:lpwstr>http://cce.cornell.edu/learnAbout/Pages/Local_Offices.aspx</vt:lpwstr>
      </vt:variant>
      <vt:variant>
        <vt:lpwstr/>
      </vt:variant>
      <vt:variant>
        <vt:i4>7209021</vt:i4>
      </vt:variant>
      <vt:variant>
        <vt:i4>39</vt:i4>
      </vt:variant>
      <vt:variant>
        <vt:i4>0</vt:i4>
      </vt:variant>
      <vt:variant>
        <vt:i4>5</vt:i4>
      </vt:variant>
      <vt:variant>
        <vt:lpwstr>http://www.wadsworth.org/labcert/elap/comm.html</vt:lpwstr>
      </vt:variant>
      <vt:variant>
        <vt:lpwstr/>
      </vt:variant>
      <vt:variant>
        <vt:i4>196628</vt:i4>
      </vt:variant>
      <vt:variant>
        <vt:i4>36</vt:i4>
      </vt:variant>
      <vt:variant>
        <vt:i4>0</vt:i4>
      </vt:variant>
      <vt:variant>
        <vt:i4>5</vt:i4>
      </vt:variant>
      <vt:variant>
        <vt:lpwstr>http://www.nyhealth.gov/regulations/recently_adopted/docs/2010-02-03_wastewater_treatment_residental_onsite_systems.pdf</vt:lpwstr>
      </vt:variant>
      <vt:variant>
        <vt:lpwstr/>
      </vt:variant>
      <vt:variant>
        <vt:i4>1638436</vt:i4>
      </vt:variant>
      <vt:variant>
        <vt:i4>33</vt:i4>
      </vt:variant>
      <vt:variant>
        <vt:i4>0</vt:i4>
      </vt:variant>
      <vt:variant>
        <vt:i4>5</vt:i4>
      </vt:variant>
      <vt:variant>
        <vt:lpwstr>http://www.health.ny.gov/environmental/water/drinking/wastewater_treatment_systems/design_handbook.htm</vt:lpwstr>
      </vt:variant>
      <vt:variant>
        <vt:lpwstr/>
      </vt:variant>
      <vt:variant>
        <vt:i4>5177446</vt:i4>
      </vt:variant>
      <vt:variant>
        <vt:i4>30</vt:i4>
      </vt:variant>
      <vt:variant>
        <vt:i4>0</vt:i4>
      </vt:variant>
      <vt:variant>
        <vt:i4>5</vt:i4>
      </vt:variant>
      <vt:variant>
        <vt:lpwstr>http://www.health.state.ny.us/environmental/water/drinking/appendix_75a.htm</vt:lpwstr>
      </vt:variant>
      <vt:variant>
        <vt:lpwstr/>
      </vt:variant>
      <vt:variant>
        <vt:i4>65620</vt:i4>
      </vt:variant>
      <vt:variant>
        <vt:i4>27</vt:i4>
      </vt:variant>
      <vt:variant>
        <vt:i4>0</vt:i4>
      </vt:variant>
      <vt:variant>
        <vt:i4>5</vt:i4>
      </vt:variant>
      <vt:variant>
        <vt:lpwstr>http://www.health.state.ny.us/nysdoh/lhu/map.htm</vt:lpwstr>
      </vt:variant>
      <vt:variant>
        <vt:lpwstr/>
      </vt:variant>
      <vt:variant>
        <vt:i4>6094946</vt:i4>
      </vt:variant>
      <vt:variant>
        <vt:i4>24</vt:i4>
      </vt:variant>
      <vt:variant>
        <vt:i4>0</vt:i4>
      </vt:variant>
      <vt:variant>
        <vt:i4>5</vt:i4>
      </vt:variant>
      <vt:variant>
        <vt:lpwstr>http://www.nesc.wvu.edu/pdf/WW/publications/eti/ISF_gen.pdf</vt:lpwstr>
      </vt:variant>
      <vt:variant>
        <vt:lpwstr/>
      </vt:variant>
      <vt:variant>
        <vt:i4>7405642</vt:i4>
      </vt:variant>
      <vt:variant>
        <vt:i4>21</vt:i4>
      </vt:variant>
      <vt:variant>
        <vt:i4>0</vt:i4>
      </vt:variant>
      <vt:variant>
        <vt:i4>5</vt:i4>
      </vt:variant>
      <vt:variant>
        <vt:lpwstr>http://www.nesc.wvu.edu/pdf/WW/publications/eti/mounds_tech.pdf</vt:lpwstr>
      </vt:variant>
      <vt:variant>
        <vt:lpwstr/>
      </vt:variant>
      <vt:variant>
        <vt:i4>2228299</vt:i4>
      </vt:variant>
      <vt:variant>
        <vt:i4>18</vt:i4>
      </vt:variant>
      <vt:variant>
        <vt:i4>0</vt:i4>
      </vt:variant>
      <vt:variant>
        <vt:i4>5</vt:i4>
      </vt:variant>
      <vt:variant>
        <vt:lpwstr>http://www.uri.edu/ce/wq/RESOURCES/wastewater/Onsite_Systems/Advanced/index.htm</vt:lpwstr>
      </vt:variant>
      <vt:variant>
        <vt:lpwstr/>
      </vt:variant>
      <vt:variant>
        <vt:i4>983103</vt:i4>
      </vt:variant>
      <vt:variant>
        <vt:i4>15</vt:i4>
      </vt:variant>
      <vt:variant>
        <vt:i4>0</vt:i4>
      </vt:variant>
      <vt:variant>
        <vt:i4>5</vt:i4>
      </vt:variant>
      <vt:variant>
        <vt:lpwstr>http://www.epa.gov/owm/septic/pubs/aerobic_treatment.pdf</vt:lpwstr>
      </vt:variant>
      <vt:variant>
        <vt:lpwstr/>
      </vt:variant>
      <vt:variant>
        <vt:i4>7798874</vt:i4>
      </vt:variant>
      <vt:variant>
        <vt:i4>12</vt:i4>
      </vt:variant>
      <vt:variant>
        <vt:i4>0</vt:i4>
      </vt:variant>
      <vt:variant>
        <vt:i4>5</vt:i4>
      </vt:variant>
      <vt:variant>
        <vt:lpwstr>http://www.health.ny.gov/regulations/nycrr/title_10/part_75/appendix_75-a.htm</vt:lpwstr>
      </vt:variant>
      <vt:variant>
        <vt:lpwstr>a6</vt:lpwstr>
      </vt:variant>
      <vt:variant>
        <vt:i4>6488069</vt:i4>
      </vt:variant>
      <vt:variant>
        <vt:i4>9</vt:i4>
      </vt:variant>
      <vt:variant>
        <vt:i4>0</vt:i4>
      </vt:variant>
      <vt:variant>
        <vt:i4>5</vt:i4>
      </vt:variant>
      <vt:variant>
        <vt:lpwstr>http://www.health.ny.gov/regulations/nycrr/title_10/part_75/appendix_75-a.htm%23a4</vt:lpwstr>
      </vt:variant>
      <vt:variant>
        <vt:lpwstr/>
      </vt:variant>
      <vt:variant>
        <vt:i4>7209021</vt:i4>
      </vt:variant>
      <vt:variant>
        <vt:i4>6</vt:i4>
      </vt:variant>
      <vt:variant>
        <vt:i4>0</vt:i4>
      </vt:variant>
      <vt:variant>
        <vt:i4>5</vt:i4>
      </vt:variant>
      <vt:variant>
        <vt:lpwstr>http://www.wadsworth.org/labcert/elap/comm.html</vt:lpwstr>
      </vt:variant>
      <vt:variant>
        <vt:lpwstr/>
      </vt:variant>
      <vt:variant>
        <vt:i4>7733298</vt:i4>
      </vt:variant>
      <vt:variant>
        <vt:i4>3</vt:i4>
      </vt:variant>
      <vt:variant>
        <vt:i4>0</vt:i4>
      </vt:variant>
      <vt:variant>
        <vt:i4>5</vt:i4>
      </vt:variant>
      <vt:variant>
        <vt:lpwstr>http://www.epa.gov/WaterSense/</vt:lpwstr>
      </vt:variant>
      <vt:variant>
        <vt:lpwstr/>
      </vt:variant>
      <vt:variant>
        <vt:i4>6094924</vt:i4>
      </vt:variant>
      <vt:variant>
        <vt:i4>0</vt:i4>
      </vt:variant>
      <vt:variant>
        <vt:i4>0</vt:i4>
      </vt:variant>
      <vt:variant>
        <vt:i4>5</vt:i4>
      </vt:variant>
      <vt:variant>
        <vt:lpwstr>http://www.nowra.org/newsrelease/Softnerguidance.pdf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Publication FS-1</dc:title>
  <dc:creator>Human Ecology</dc:creator>
  <cp:lastModifiedBy>GalfordEAS</cp:lastModifiedBy>
  <cp:revision>93</cp:revision>
  <cp:lastPrinted>2013-01-23T22:29:00Z</cp:lastPrinted>
  <dcterms:created xsi:type="dcterms:W3CDTF">2013-01-23T22:40:00Z</dcterms:created>
  <dcterms:modified xsi:type="dcterms:W3CDTF">2013-01-24T07:34:00Z</dcterms:modified>
</cp:coreProperties>
</file>